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CB6B7" w14:textId="101721A0" w:rsidR="00E6794A" w:rsidRPr="00ED6685" w:rsidRDefault="00A42C28" w:rsidP="00E6794A">
      <w:pPr>
        <w:pStyle w:val="BioHeader"/>
        <w:jc w:val="center"/>
        <w:rPr>
          <w:sz w:val="28"/>
          <w:szCs w:val="28"/>
        </w:rPr>
      </w:pPr>
      <w:r>
        <w:rPr>
          <w:sz w:val="28"/>
          <w:szCs w:val="28"/>
        </w:rPr>
        <w:t xml:space="preserve">Guide to writing a </w:t>
      </w:r>
      <w:r w:rsidR="001179B1" w:rsidRPr="00ED6685">
        <w:rPr>
          <w:sz w:val="28"/>
          <w:szCs w:val="28"/>
        </w:rPr>
        <w:t>Board Financial Management Narrative</w:t>
      </w:r>
    </w:p>
    <w:p w14:paraId="62984CBF" w14:textId="77777777" w:rsidR="00525B3A" w:rsidRDefault="00525B3A" w:rsidP="00E6794A">
      <w:pPr>
        <w:pStyle w:val="AllcapsHeading4"/>
      </w:pPr>
    </w:p>
    <w:p w14:paraId="51492F31" w14:textId="71CF5698" w:rsidR="00525B3A" w:rsidRPr="007E401D" w:rsidRDefault="00AC0CCC" w:rsidP="00AC0CCC">
      <w:pPr>
        <w:rPr>
          <w:rFonts w:ascii="Trebuchet MS" w:hAnsi="Trebuchet MS" w:cs="Arial"/>
          <w:iCs/>
          <w:color w:val="auto"/>
        </w:rPr>
      </w:pPr>
      <w:r w:rsidRPr="007E401D">
        <w:rPr>
          <w:rFonts w:ascii="Trebuchet MS" w:hAnsi="Trebuchet MS" w:cs="Arial"/>
          <w:iCs/>
          <w:color w:val="auto"/>
        </w:rPr>
        <w:t xml:space="preserve">The primary purpose of the Financial Narrative is to encourage a forum for discussion and decision-making related to the organization’s financial direction and goals. This template should be </w:t>
      </w:r>
      <w:r w:rsidR="00F21B43" w:rsidRPr="007E401D">
        <w:rPr>
          <w:rFonts w:ascii="Trebuchet MS" w:hAnsi="Trebuchet MS" w:cs="Arial"/>
          <w:iCs/>
          <w:color w:val="auto"/>
        </w:rPr>
        <w:t>used to create a narrative summary of current financial results which are</w:t>
      </w:r>
      <w:r w:rsidRPr="007E401D">
        <w:rPr>
          <w:rFonts w:ascii="Trebuchet MS" w:hAnsi="Trebuchet MS" w:cs="Arial"/>
          <w:iCs/>
          <w:color w:val="auto"/>
        </w:rPr>
        <w:t xml:space="preserve"> shared regularly with Board and Executive leadership</w:t>
      </w:r>
      <w:r w:rsidR="00D27AF7" w:rsidRPr="007E401D">
        <w:rPr>
          <w:rFonts w:ascii="Trebuchet MS" w:hAnsi="Trebuchet MS" w:cs="Arial"/>
          <w:iCs/>
          <w:color w:val="auto"/>
        </w:rPr>
        <w:t>,</w:t>
      </w:r>
      <w:r w:rsidRPr="007E401D">
        <w:rPr>
          <w:rFonts w:ascii="Trebuchet MS" w:hAnsi="Trebuchet MS" w:cs="Arial"/>
          <w:iCs/>
          <w:color w:val="auto"/>
        </w:rPr>
        <w:t xml:space="preserve"> and information </w:t>
      </w:r>
      <w:r w:rsidR="00F21B43" w:rsidRPr="007E401D">
        <w:rPr>
          <w:rFonts w:ascii="Trebuchet MS" w:hAnsi="Trebuchet MS" w:cs="Arial"/>
          <w:iCs/>
          <w:color w:val="auto"/>
        </w:rPr>
        <w:t>included</w:t>
      </w:r>
      <w:r w:rsidRPr="007E401D">
        <w:rPr>
          <w:rFonts w:ascii="Trebuchet MS" w:hAnsi="Trebuchet MS" w:cs="Arial"/>
          <w:iCs/>
          <w:color w:val="auto"/>
        </w:rPr>
        <w:t> </w:t>
      </w:r>
      <w:r w:rsidR="00206F54" w:rsidRPr="007E401D">
        <w:rPr>
          <w:rFonts w:ascii="Trebuchet MS" w:hAnsi="Trebuchet MS" w:cs="Arial"/>
          <w:iCs/>
          <w:color w:val="auto"/>
        </w:rPr>
        <w:t xml:space="preserve">should be </w:t>
      </w:r>
      <w:r w:rsidRPr="007E401D">
        <w:rPr>
          <w:rFonts w:ascii="Trebuchet MS" w:hAnsi="Trebuchet MS" w:cs="Arial"/>
          <w:iCs/>
          <w:color w:val="auto"/>
        </w:rPr>
        <w:t xml:space="preserve">based on </w:t>
      </w:r>
      <w:r w:rsidR="00D27AF7" w:rsidRPr="007E401D">
        <w:rPr>
          <w:rFonts w:ascii="Trebuchet MS" w:hAnsi="Trebuchet MS" w:cs="Arial"/>
          <w:iCs/>
          <w:color w:val="auto"/>
        </w:rPr>
        <w:t xml:space="preserve">an </w:t>
      </w:r>
      <w:r w:rsidRPr="007E401D">
        <w:rPr>
          <w:rFonts w:ascii="Trebuchet MS" w:hAnsi="Trebuchet MS" w:cs="Arial"/>
          <w:iCs/>
          <w:color w:val="auto"/>
        </w:rPr>
        <w:t>analysis of the organization’s financial statements and relevant financial data.</w:t>
      </w:r>
      <w:r w:rsidR="00206F54" w:rsidRPr="007E401D">
        <w:rPr>
          <w:rFonts w:ascii="Trebuchet MS" w:hAnsi="Trebuchet MS" w:cs="Arial"/>
          <w:iCs/>
          <w:color w:val="auto"/>
        </w:rPr>
        <w:t xml:space="preserve"> </w:t>
      </w:r>
    </w:p>
    <w:p w14:paraId="281F4A27" w14:textId="3A6EE849" w:rsidR="0093231E" w:rsidRPr="007E401D" w:rsidRDefault="0093231E" w:rsidP="00AC0CCC">
      <w:pPr>
        <w:rPr>
          <w:rFonts w:ascii="Trebuchet MS" w:hAnsi="Trebuchet MS" w:cs="Arial"/>
          <w:iCs/>
          <w:color w:val="auto"/>
        </w:rPr>
      </w:pPr>
      <w:r w:rsidRPr="007E401D">
        <w:rPr>
          <w:rFonts w:ascii="Trebuchet MS" w:hAnsi="Trebuchet MS" w:cs="Arial"/>
          <w:iCs/>
          <w:color w:val="auto"/>
        </w:rPr>
        <w:t>Key reminders for writing a financial management narrative:</w:t>
      </w:r>
    </w:p>
    <w:p w14:paraId="0C705249" w14:textId="21882D00" w:rsidR="0093231E" w:rsidRPr="007E401D" w:rsidRDefault="0093231E" w:rsidP="0093231E">
      <w:pPr>
        <w:pStyle w:val="ListParagraph"/>
        <w:numPr>
          <w:ilvl w:val="0"/>
          <w:numId w:val="22"/>
        </w:numPr>
        <w:rPr>
          <w:color w:val="auto"/>
        </w:rPr>
      </w:pPr>
      <w:r w:rsidRPr="007E401D">
        <w:rPr>
          <w:color w:val="auto"/>
        </w:rPr>
        <w:t>The narrative should accompany key financial reports and reflect the same story</w:t>
      </w:r>
    </w:p>
    <w:p w14:paraId="6C49C0A3" w14:textId="4F2F636B" w:rsidR="0093231E" w:rsidRPr="007E401D" w:rsidRDefault="0093231E" w:rsidP="0093231E">
      <w:pPr>
        <w:pStyle w:val="ListParagraph"/>
        <w:numPr>
          <w:ilvl w:val="0"/>
          <w:numId w:val="22"/>
        </w:numPr>
        <w:rPr>
          <w:color w:val="auto"/>
        </w:rPr>
      </w:pPr>
      <w:r w:rsidRPr="007E401D">
        <w:rPr>
          <w:color w:val="auto"/>
        </w:rPr>
        <w:t>A narrative document doesn’t require lengthy pro</w:t>
      </w:r>
      <w:r w:rsidR="00092D2E">
        <w:rPr>
          <w:color w:val="auto"/>
        </w:rPr>
        <w:t>se – k</w:t>
      </w:r>
      <w:r w:rsidR="007E401D" w:rsidRPr="007E401D">
        <w:rPr>
          <w:color w:val="auto"/>
        </w:rPr>
        <w:t>eep</w:t>
      </w:r>
      <w:r w:rsidRPr="007E401D">
        <w:rPr>
          <w:color w:val="auto"/>
        </w:rPr>
        <w:t xml:space="preserve"> it short and simple</w:t>
      </w:r>
    </w:p>
    <w:p w14:paraId="0DA1B722" w14:textId="34FCB1F4" w:rsidR="0093231E" w:rsidRPr="007E401D" w:rsidRDefault="0093231E" w:rsidP="0093231E">
      <w:pPr>
        <w:pStyle w:val="ListParagraph"/>
        <w:numPr>
          <w:ilvl w:val="0"/>
          <w:numId w:val="22"/>
        </w:numPr>
        <w:rPr>
          <w:color w:val="auto"/>
        </w:rPr>
      </w:pPr>
      <w:r w:rsidRPr="007E401D">
        <w:rPr>
          <w:color w:val="auto"/>
        </w:rPr>
        <w:t>When possible, use visual representations of the data to support the written narrative</w:t>
      </w:r>
    </w:p>
    <w:p w14:paraId="4081256A" w14:textId="379569F7" w:rsidR="0093231E" w:rsidRPr="007E401D" w:rsidRDefault="0093231E" w:rsidP="0093231E">
      <w:pPr>
        <w:pStyle w:val="ListParagraph"/>
        <w:numPr>
          <w:ilvl w:val="0"/>
          <w:numId w:val="22"/>
        </w:numPr>
        <w:rPr>
          <w:color w:val="auto"/>
        </w:rPr>
      </w:pPr>
      <w:r w:rsidRPr="007E401D">
        <w:rPr>
          <w:color w:val="auto"/>
        </w:rPr>
        <w:t xml:space="preserve">The overview may be similar from month to </w:t>
      </w:r>
      <w:r w:rsidR="00092D2E" w:rsidRPr="007E401D">
        <w:rPr>
          <w:color w:val="auto"/>
        </w:rPr>
        <w:t>mon</w:t>
      </w:r>
      <w:r w:rsidR="00092D2E">
        <w:rPr>
          <w:color w:val="auto"/>
        </w:rPr>
        <w:t xml:space="preserve">th – be sure </w:t>
      </w:r>
      <w:r w:rsidRPr="007E401D">
        <w:rPr>
          <w:color w:val="auto"/>
        </w:rPr>
        <w:t>to amplify any changes that might have occurred</w:t>
      </w:r>
    </w:p>
    <w:p w14:paraId="0F85D369" w14:textId="2AE5FBF8" w:rsidR="00AC0CCC" w:rsidRPr="007E401D" w:rsidRDefault="00AC0CCC" w:rsidP="00ED6685">
      <w:pPr>
        <w:spacing w:before="240"/>
        <w:rPr>
          <w:rFonts w:ascii="Trebuchet MS" w:hAnsi="Trebuchet MS"/>
          <w:b/>
          <w:bCs/>
          <w:color w:val="auto"/>
        </w:rPr>
      </w:pPr>
      <w:r w:rsidRPr="007E401D">
        <w:rPr>
          <w:rFonts w:ascii="Trebuchet MS" w:hAnsi="Trebuchet MS"/>
          <w:b/>
          <w:bCs/>
          <w:color w:val="auto"/>
        </w:rPr>
        <w:t>Overview</w:t>
      </w:r>
    </w:p>
    <w:p w14:paraId="302555A6" w14:textId="1AAB7CEB" w:rsidR="00AC0CCC" w:rsidRPr="007E401D" w:rsidRDefault="00AC0CCC" w:rsidP="00AC0CCC">
      <w:pPr>
        <w:rPr>
          <w:rFonts w:ascii="Trebuchet MS" w:hAnsi="Trebuchet MS"/>
          <w:color w:val="auto"/>
        </w:rPr>
      </w:pPr>
      <w:r w:rsidRPr="007E401D">
        <w:rPr>
          <w:rFonts w:ascii="Trebuchet MS" w:hAnsi="Trebuchet MS"/>
          <w:color w:val="auto"/>
        </w:rPr>
        <w:t>The overview should provide a “big picture” view of the organization’s current financial condition and its programmatic focus. This introductory section should generally address the following questions:</w:t>
      </w:r>
    </w:p>
    <w:p w14:paraId="5B4057D8" w14:textId="0111A8FF" w:rsidR="00525B3A" w:rsidRPr="007E401D" w:rsidRDefault="00525B3A" w:rsidP="00AC0CCC">
      <w:pPr>
        <w:rPr>
          <w:rFonts w:ascii="Trebuchet MS" w:hAnsi="Trebuchet MS"/>
          <w:color w:val="auto"/>
        </w:rPr>
      </w:pPr>
      <w:r w:rsidRPr="007E401D">
        <w:rPr>
          <w:rFonts w:ascii="Trebuchet MS" w:hAnsi="Trebuchet MS"/>
          <w:color w:val="auto"/>
        </w:rPr>
        <w:t>Refresher Info:</w:t>
      </w:r>
    </w:p>
    <w:p w14:paraId="549ACC70" w14:textId="77777777" w:rsidR="00525B3A" w:rsidRPr="007E401D" w:rsidRDefault="00525B3A" w:rsidP="00525B3A">
      <w:pPr>
        <w:pStyle w:val="ListParagraph"/>
        <w:numPr>
          <w:ilvl w:val="0"/>
          <w:numId w:val="22"/>
        </w:numPr>
        <w:rPr>
          <w:color w:val="auto"/>
        </w:rPr>
      </w:pPr>
      <w:r w:rsidRPr="007E401D">
        <w:rPr>
          <w:color w:val="auto"/>
        </w:rPr>
        <w:t xml:space="preserve">What are the priorities for the current year, both programmatically and financially? </w:t>
      </w:r>
    </w:p>
    <w:p w14:paraId="0C35AE28" w14:textId="77777777" w:rsidR="00525B3A" w:rsidRPr="007E401D" w:rsidRDefault="00525B3A" w:rsidP="00525B3A">
      <w:pPr>
        <w:pStyle w:val="ListParagraph"/>
        <w:numPr>
          <w:ilvl w:val="0"/>
          <w:numId w:val="22"/>
        </w:numPr>
        <w:rPr>
          <w:color w:val="auto"/>
        </w:rPr>
      </w:pPr>
      <w:r w:rsidRPr="007E401D">
        <w:rPr>
          <w:color w:val="auto"/>
        </w:rPr>
        <w:t>How does the approved budget broadly support these goals? How does it support the organization’s overall strategic priorities?</w:t>
      </w:r>
    </w:p>
    <w:p w14:paraId="3DE5B7E2" w14:textId="08B5DF78" w:rsidR="0093231E" w:rsidRPr="007E401D" w:rsidRDefault="00525B3A" w:rsidP="0093231E">
      <w:pPr>
        <w:rPr>
          <w:color w:val="auto"/>
        </w:rPr>
      </w:pPr>
      <w:r w:rsidRPr="007E401D">
        <w:rPr>
          <w:color w:val="auto"/>
        </w:rPr>
        <w:t>Current Updates:</w:t>
      </w:r>
    </w:p>
    <w:p w14:paraId="2353906E" w14:textId="72920389" w:rsidR="00AC0CCC" w:rsidRPr="007E401D" w:rsidRDefault="0093231E" w:rsidP="00EA7072">
      <w:pPr>
        <w:pStyle w:val="ListParagraph"/>
        <w:numPr>
          <w:ilvl w:val="0"/>
          <w:numId w:val="22"/>
        </w:numPr>
        <w:rPr>
          <w:color w:val="auto"/>
        </w:rPr>
      </w:pPr>
      <w:r w:rsidRPr="007E401D">
        <w:rPr>
          <w:color w:val="auto"/>
        </w:rPr>
        <w:t>What</w:t>
      </w:r>
      <w:r w:rsidR="00AC0CCC" w:rsidRPr="007E401D">
        <w:rPr>
          <w:color w:val="auto"/>
        </w:rPr>
        <w:t xml:space="preserve"> has the organization achieved in the current fiscal year</w:t>
      </w:r>
      <w:r w:rsidR="00E951E5">
        <w:rPr>
          <w:color w:val="auto"/>
        </w:rPr>
        <w:t xml:space="preserve"> to date</w:t>
      </w:r>
      <w:r w:rsidR="00AC0CCC" w:rsidRPr="007E401D">
        <w:rPr>
          <w:color w:val="auto"/>
        </w:rPr>
        <w:t>?</w:t>
      </w:r>
    </w:p>
    <w:p w14:paraId="514EA936" w14:textId="77777777" w:rsidR="00D91B83" w:rsidRPr="007E401D" w:rsidRDefault="00AC0CCC" w:rsidP="00EA7072">
      <w:pPr>
        <w:pStyle w:val="ListParagraph"/>
        <w:numPr>
          <w:ilvl w:val="0"/>
          <w:numId w:val="22"/>
        </w:numPr>
        <w:rPr>
          <w:color w:val="auto"/>
        </w:rPr>
      </w:pPr>
      <w:r w:rsidRPr="007E401D">
        <w:rPr>
          <w:color w:val="auto"/>
        </w:rPr>
        <w:t xml:space="preserve">What are the primary </w:t>
      </w:r>
      <w:r w:rsidR="00D91B83" w:rsidRPr="007E401D">
        <w:rPr>
          <w:color w:val="auto"/>
        </w:rPr>
        <w:t xml:space="preserve">financial </w:t>
      </w:r>
      <w:r w:rsidRPr="007E401D">
        <w:rPr>
          <w:color w:val="auto"/>
        </w:rPr>
        <w:t xml:space="preserve">opportunities ahead? Challenges? </w:t>
      </w:r>
    </w:p>
    <w:p w14:paraId="57D89E9B" w14:textId="591BB4F6" w:rsidR="00AC0CCC" w:rsidRPr="007E401D" w:rsidRDefault="00D91B83" w:rsidP="00EA7072">
      <w:pPr>
        <w:pStyle w:val="ListParagraph"/>
        <w:numPr>
          <w:ilvl w:val="0"/>
          <w:numId w:val="22"/>
        </w:numPr>
        <w:rPr>
          <w:color w:val="auto"/>
        </w:rPr>
      </w:pPr>
      <w:r w:rsidRPr="007E401D">
        <w:rPr>
          <w:color w:val="auto"/>
        </w:rPr>
        <w:t>What n</w:t>
      </w:r>
      <w:r w:rsidR="00AC0CCC" w:rsidRPr="007E401D">
        <w:rPr>
          <w:color w:val="auto"/>
        </w:rPr>
        <w:t>ew programs/initiatives</w:t>
      </w:r>
      <w:r w:rsidRPr="007E401D">
        <w:rPr>
          <w:color w:val="auto"/>
        </w:rPr>
        <w:t xml:space="preserve"> </w:t>
      </w:r>
      <w:r w:rsidR="00E951E5">
        <w:rPr>
          <w:color w:val="auto"/>
        </w:rPr>
        <w:t xml:space="preserve">or other programmatic changes </w:t>
      </w:r>
      <w:r w:rsidRPr="007E401D">
        <w:rPr>
          <w:color w:val="auto"/>
        </w:rPr>
        <w:t>are we engaged in or planning</w:t>
      </w:r>
      <w:r w:rsidR="00AC0CCC" w:rsidRPr="007E401D">
        <w:rPr>
          <w:color w:val="auto"/>
        </w:rPr>
        <w:t xml:space="preserve">? </w:t>
      </w:r>
    </w:p>
    <w:p w14:paraId="7F237D2B" w14:textId="33FA49CF" w:rsidR="00AC0CCC" w:rsidRPr="00EA1D22" w:rsidRDefault="00525B3A" w:rsidP="00EA1D22">
      <w:pPr>
        <w:rPr>
          <w:color w:val="auto"/>
        </w:rPr>
      </w:pPr>
      <w:r w:rsidRPr="007E401D">
        <w:rPr>
          <w:color w:val="auto"/>
        </w:rPr>
        <w:t>Always Consider:</w:t>
      </w:r>
      <w:r w:rsidR="00EA1D22">
        <w:rPr>
          <w:color w:val="auto"/>
        </w:rPr>
        <w:t xml:space="preserve"> </w:t>
      </w:r>
      <w:r w:rsidR="00780612" w:rsidRPr="00EA1D22">
        <w:rPr>
          <w:color w:val="auto"/>
        </w:rPr>
        <w:t xml:space="preserve">What are the </w:t>
      </w:r>
      <w:r w:rsidR="00780612" w:rsidRPr="00EA1D22">
        <w:rPr>
          <w:b/>
          <w:bCs/>
          <w:color w:val="auto"/>
        </w:rPr>
        <w:t>key questions</w:t>
      </w:r>
      <w:r w:rsidR="00367E66" w:rsidRPr="00EA1D22">
        <w:rPr>
          <w:b/>
          <w:bCs/>
          <w:color w:val="auto"/>
        </w:rPr>
        <w:t>/areas</w:t>
      </w:r>
      <w:r w:rsidR="00EA1D22">
        <w:rPr>
          <w:b/>
          <w:bCs/>
          <w:color w:val="auto"/>
        </w:rPr>
        <w:t xml:space="preserve"> </w:t>
      </w:r>
      <w:r w:rsidR="00E951E5" w:rsidRPr="00EA1D22">
        <w:rPr>
          <w:color w:val="auto"/>
        </w:rPr>
        <w:t xml:space="preserve">in which </w:t>
      </w:r>
      <w:r w:rsidR="00780612" w:rsidRPr="00EA1D22">
        <w:rPr>
          <w:color w:val="auto"/>
        </w:rPr>
        <w:t>you</w:t>
      </w:r>
      <w:r w:rsidR="00E951E5" w:rsidRPr="00EA1D22">
        <w:rPr>
          <w:color w:val="auto"/>
        </w:rPr>
        <w:t xml:space="preserve"> would</w:t>
      </w:r>
      <w:r w:rsidR="00780612" w:rsidRPr="00EA1D22">
        <w:rPr>
          <w:color w:val="auto"/>
        </w:rPr>
        <w:t xml:space="preserve"> like the board</w:t>
      </w:r>
      <w:r w:rsidR="00E951E5" w:rsidRPr="00EA1D22">
        <w:rPr>
          <w:color w:val="auto"/>
        </w:rPr>
        <w:t>’s input or feedback?</w:t>
      </w:r>
    </w:p>
    <w:p w14:paraId="5E44FFEA" w14:textId="09D24962" w:rsidR="00AC0CCC" w:rsidRPr="00A42C28" w:rsidRDefault="00780612" w:rsidP="00EA1D22">
      <w:pPr>
        <w:spacing w:before="240"/>
        <w:jc w:val="center"/>
        <w:rPr>
          <w:rFonts w:ascii="Trebuchet MS" w:hAnsi="Trebuchet MS"/>
          <w:b/>
          <w:bCs/>
          <w:caps/>
        </w:rPr>
      </w:pPr>
      <w:r w:rsidRPr="00A42C28">
        <w:rPr>
          <w:rFonts w:ascii="Trebuchet MS" w:hAnsi="Trebuchet MS"/>
          <w:b/>
          <w:bCs/>
          <w:caps/>
          <w:color w:val="auto"/>
        </w:rPr>
        <w:t>Financial</w:t>
      </w:r>
      <w:r w:rsidR="00AC0CCC" w:rsidRPr="00A42C28">
        <w:rPr>
          <w:rFonts w:ascii="Trebuchet MS" w:hAnsi="Trebuchet MS"/>
          <w:b/>
          <w:bCs/>
          <w:caps/>
          <w:color w:val="auto"/>
        </w:rPr>
        <w:t xml:space="preserve"> Summary</w:t>
      </w:r>
      <w:r w:rsidR="00F74617" w:rsidRPr="00A42C28">
        <w:rPr>
          <w:rFonts w:ascii="Trebuchet MS" w:hAnsi="Trebuchet MS"/>
          <w:b/>
          <w:bCs/>
          <w:caps/>
          <w:color w:val="auto"/>
        </w:rPr>
        <w:t xml:space="preserve"> as of </w:t>
      </w:r>
      <w:r w:rsidR="00F74617" w:rsidRPr="00A42C28">
        <w:rPr>
          <w:rFonts w:ascii="Trebuchet MS" w:hAnsi="Trebuchet MS"/>
          <w:b/>
          <w:bCs/>
          <w:caps/>
          <w:color w:val="FF0000"/>
        </w:rPr>
        <w:t>[</w:t>
      </w:r>
      <w:r w:rsidR="0093231E" w:rsidRPr="00A42C28">
        <w:rPr>
          <w:rFonts w:ascii="Trebuchet MS" w:hAnsi="Trebuchet MS"/>
          <w:b/>
          <w:bCs/>
          <w:caps/>
          <w:color w:val="FF0000"/>
        </w:rPr>
        <w:t>include month &amp; year</w:t>
      </w:r>
      <w:r w:rsidR="00F74617" w:rsidRPr="00A42C28">
        <w:rPr>
          <w:rFonts w:ascii="Trebuchet MS" w:hAnsi="Trebuchet MS"/>
          <w:b/>
          <w:bCs/>
          <w:caps/>
          <w:color w:val="FF0000"/>
        </w:rPr>
        <w:t>]</w:t>
      </w:r>
      <w:r w:rsidR="00F74617" w:rsidRPr="00A42C28">
        <w:rPr>
          <w:rFonts w:ascii="Trebuchet MS" w:hAnsi="Trebuchet MS"/>
          <w:b/>
          <w:bCs/>
          <w:caps/>
        </w:rPr>
        <w:t xml:space="preserve"> </w:t>
      </w:r>
    </w:p>
    <w:p w14:paraId="4D2A8AC0" w14:textId="00BACDAD" w:rsidR="00087235" w:rsidRPr="00A42C28" w:rsidRDefault="00EA1D22" w:rsidP="00EA7072">
      <w:pPr>
        <w:jc w:val="center"/>
        <w:rPr>
          <w:rFonts w:ascii="Trebuchet MS" w:hAnsi="Trebuchet MS"/>
          <w:b/>
          <w:bCs/>
          <w:caps/>
          <w:color w:val="auto"/>
        </w:rPr>
      </w:pPr>
      <w:r>
        <w:rPr>
          <w:rFonts w:ascii="Trebuchet MS" w:hAnsi="Trebuchet MS"/>
          <w:b/>
          <w:bCs/>
          <w:caps/>
          <w:color w:val="auto"/>
        </w:rPr>
        <w:t>Statement of Financial Position</w:t>
      </w:r>
    </w:p>
    <w:p w14:paraId="1A96BCFA" w14:textId="376C3498" w:rsidR="00367E66" w:rsidRPr="007E401D" w:rsidRDefault="00367E66" w:rsidP="00AC0CCC">
      <w:pPr>
        <w:rPr>
          <w:rFonts w:ascii="Trebuchet MS" w:hAnsi="Trebuchet MS"/>
          <w:color w:val="auto"/>
        </w:rPr>
      </w:pPr>
      <w:r w:rsidRPr="007E401D">
        <w:rPr>
          <w:rFonts w:ascii="Trebuchet MS" w:hAnsi="Trebuchet MS"/>
          <w:b/>
          <w:bCs/>
          <w:color w:val="auto"/>
        </w:rPr>
        <w:t>Reserves &amp; Net Assets</w:t>
      </w:r>
    </w:p>
    <w:p w14:paraId="15083AA5" w14:textId="1673E9D4" w:rsidR="00DF1C36" w:rsidRPr="007E401D" w:rsidRDefault="00367E66" w:rsidP="00367E66">
      <w:pPr>
        <w:rPr>
          <w:color w:val="auto"/>
        </w:rPr>
      </w:pPr>
      <w:r w:rsidRPr="007E401D">
        <w:rPr>
          <w:color w:val="auto"/>
        </w:rPr>
        <w:t xml:space="preserve">An organization’s Liquid Unrestricted Net Assets (LUNA) – also referred to as “operating reserves” – is the portion of </w:t>
      </w:r>
      <w:r w:rsidRPr="007E401D">
        <w:rPr>
          <w:b/>
          <w:bCs/>
          <w:color w:val="auto"/>
        </w:rPr>
        <w:t>unrestricted</w:t>
      </w:r>
      <w:r w:rsidRPr="007E401D">
        <w:rPr>
          <w:color w:val="auto"/>
        </w:rPr>
        <w:t xml:space="preserve"> net assets that can be converted to cash relatively easily. It is a measure of funds available to an organization for guarding against downturns, pursuing new opportunities, and providing working capital in times of low cash flow</w:t>
      </w:r>
      <w:r w:rsidR="00DF1C36" w:rsidRPr="007E401D">
        <w:rPr>
          <w:color w:val="auto"/>
        </w:rPr>
        <w:t>. Organizations with Board-Designated funds may opt to remove them from their Unrestricted Net Asset</w:t>
      </w:r>
      <w:r w:rsidR="00EA1D22">
        <w:rPr>
          <w:rStyle w:val="FootnoteReference"/>
          <w:color w:val="auto"/>
        </w:rPr>
        <w:footnoteReference w:id="2"/>
      </w:r>
      <w:r w:rsidR="00DF1C36" w:rsidRPr="007E401D">
        <w:rPr>
          <w:color w:val="auto"/>
        </w:rPr>
        <w:t xml:space="preserve"> balance prior to calculating LUNA for a more conservative view. Fixed assets which </w:t>
      </w:r>
      <w:r w:rsidR="007E401D" w:rsidRPr="007E401D">
        <w:rPr>
          <w:color w:val="auto"/>
        </w:rPr>
        <w:t>cannot</w:t>
      </w:r>
      <w:r w:rsidR="00DF1C36" w:rsidRPr="007E401D">
        <w:rPr>
          <w:color w:val="auto"/>
        </w:rPr>
        <w:t xml:space="preserve"> easily be </w:t>
      </w:r>
      <w:r w:rsidR="007E401D" w:rsidRPr="007E401D">
        <w:rPr>
          <w:color w:val="auto"/>
        </w:rPr>
        <w:t xml:space="preserve">liquidated </w:t>
      </w:r>
      <w:r w:rsidR="00DF1C36" w:rsidRPr="007E401D">
        <w:rPr>
          <w:color w:val="auto"/>
        </w:rPr>
        <w:t xml:space="preserve">should </w:t>
      </w:r>
      <w:r w:rsidR="007E401D" w:rsidRPr="007E401D">
        <w:rPr>
          <w:color w:val="auto"/>
        </w:rPr>
        <w:t xml:space="preserve">also </w:t>
      </w:r>
      <w:r w:rsidR="00DF1C36" w:rsidRPr="007E401D">
        <w:rPr>
          <w:color w:val="auto"/>
        </w:rPr>
        <w:t>be removed.</w:t>
      </w:r>
    </w:p>
    <w:p w14:paraId="6333644C" w14:textId="1FB47ABC" w:rsidR="00F74617" w:rsidRPr="007E401D" w:rsidRDefault="006F7D8B" w:rsidP="00367E66">
      <w:pPr>
        <w:rPr>
          <w:color w:val="auto"/>
        </w:rPr>
      </w:pPr>
      <w:r>
        <w:rPr>
          <w:color w:val="auto"/>
        </w:rPr>
        <w:t>Include the following information</w:t>
      </w:r>
      <w:r w:rsidR="00F74617" w:rsidRPr="007E401D">
        <w:rPr>
          <w:color w:val="auto"/>
        </w:rPr>
        <w:t>:</w:t>
      </w:r>
    </w:p>
    <w:p w14:paraId="1BA81694" w14:textId="652C48A8" w:rsidR="00F74617" w:rsidRPr="007E401D" w:rsidRDefault="00F74617" w:rsidP="00EA7072">
      <w:pPr>
        <w:pStyle w:val="ListParagraph"/>
        <w:numPr>
          <w:ilvl w:val="0"/>
          <w:numId w:val="22"/>
        </w:numPr>
        <w:rPr>
          <w:color w:val="auto"/>
        </w:rPr>
      </w:pPr>
      <w:r w:rsidRPr="007E401D">
        <w:rPr>
          <w:color w:val="auto"/>
        </w:rPr>
        <w:t xml:space="preserve">Current LUNA balance in dollars </w:t>
      </w:r>
      <w:r w:rsidR="007E401D" w:rsidRPr="007E401D">
        <w:rPr>
          <w:color w:val="auto"/>
        </w:rPr>
        <w:t>as well as the months of operating expenses that balance will cover</w:t>
      </w:r>
    </w:p>
    <w:p w14:paraId="725350AE" w14:textId="54825284" w:rsidR="00F74617" w:rsidRPr="007E401D" w:rsidRDefault="00F74617" w:rsidP="00EA7072">
      <w:pPr>
        <w:pStyle w:val="ListParagraph"/>
        <w:numPr>
          <w:ilvl w:val="0"/>
          <w:numId w:val="22"/>
        </w:numPr>
        <w:rPr>
          <w:color w:val="auto"/>
        </w:rPr>
      </w:pPr>
      <w:r w:rsidRPr="007E401D">
        <w:rPr>
          <w:color w:val="auto"/>
        </w:rPr>
        <w:t xml:space="preserve">Trends in the LUNA balance: has there been an increase or decrease? In what </w:t>
      </w:r>
      <w:proofErr w:type="gramStart"/>
      <w:r w:rsidRPr="007E401D">
        <w:rPr>
          <w:color w:val="auto"/>
        </w:rPr>
        <w:t>time period</w:t>
      </w:r>
      <w:proofErr w:type="gramEnd"/>
      <w:r w:rsidRPr="007E401D">
        <w:rPr>
          <w:color w:val="auto"/>
        </w:rPr>
        <w:t>?</w:t>
      </w:r>
    </w:p>
    <w:p w14:paraId="0EAB06B2" w14:textId="337579E0" w:rsidR="00F74617" w:rsidRPr="007E401D" w:rsidRDefault="00F74617" w:rsidP="00EA7072">
      <w:pPr>
        <w:pStyle w:val="ListParagraph"/>
        <w:numPr>
          <w:ilvl w:val="0"/>
          <w:numId w:val="22"/>
        </w:numPr>
        <w:rPr>
          <w:color w:val="auto"/>
        </w:rPr>
      </w:pPr>
      <w:r w:rsidRPr="007E401D">
        <w:rPr>
          <w:color w:val="auto"/>
        </w:rPr>
        <w:t xml:space="preserve">Reminder of organization’s LUNA benchmark, as defined by Board and Leadership </w:t>
      </w:r>
    </w:p>
    <w:p w14:paraId="3DD92AB7" w14:textId="56B61846" w:rsidR="00F74617" w:rsidRPr="007E401D" w:rsidRDefault="00EA7072" w:rsidP="00EA7072">
      <w:pPr>
        <w:pStyle w:val="ListParagraph"/>
        <w:numPr>
          <w:ilvl w:val="0"/>
          <w:numId w:val="22"/>
        </w:numPr>
        <w:rPr>
          <w:color w:val="auto"/>
        </w:rPr>
      </w:pPr>
      <w:r w:rsidRPr="007E401D">
        <w:rPr>
          <w:color w:val="auto"/>
        </w:rPr>
        <w:t xml:space="preserve">Current </w:t>
      </w:r>
      <w:r w:rsidR="00F74617" w:rsidRPr="007E401D">
        <w:rPr>
          <w:color w:val="auto"/>
        </w:rPr>
        <w:t>net asset composition</w:t>
      </w:r>
    </w:p>
    <w:p w14:paraId="1AEBDB5E" w14:textId="7419D84A" w:rsidR="00367E66" w:rsidRPr="007E401D" w:rsidRDefault="00367E66" w:rsidP="00ED6685">
      <w:pPr>
        <w:spacing w:before="240"/>
        <w:rPr>
          <w:rFonts w:ascii="Trebuchet MS" w:hAnsi="Trebuchet MS"/>
          <w:b/>
          <w:bCs/>
          <w:color w:val="auto"/>
        </w:rPr>
      </w:pPr>
      <w:r w:rsidRPr="007E401D">
        <w:rPr>
          <w:rFonts w:ascii="Trebuchet MS" w:hAnsi="Trebuchet MS"/>
          <w:b/>
          <w:bCs/>
          <w:color w:val="auto"/>
        </w:rPr>
        <w:lastRenderedPageBreak/>
        <w:t>Cash-on-Hand</w:t>
      </w:r>
    </w:p>
    <w:p w14:paraId="099F261A" w14:textId="6FDE7CF5" w:rsidR="00F74617" w:rsidRPr="007E401D" w:rsidRDefault="00F74617" w:rsidP="00F74617">
      <w:pPr>
        <w:rPr>
          <w:rFonts w:ascii="Trebuchet MS" w:hAnsi="Trebuchet MS"/>
          <w:color w:val="auto"/>
        </w:rPr>
      </w:pPr>
      <w:r w:rsidRPr="007E401D">
        <w:rPr>
          <w:rFonts w:ascii="Trebuchet MS" w:hAnsi="Trebuchet MS"/>
          <w:color w:val="auto"/>
        </w:rPr>
        <w:t xml:space="preserve">Months of Cash-on-Hand </w:t>
      </w:r>
      <w:proofErr w:type="gramStart"/>
      <w:r w:rsidR="00D27AF7" w:rsidRPr="007E401D">
        <w:rPr>
          <w:rFonts w:ascii="Trebuchet MS" w:hAnsi="Trebuchet MS"/>
          <w:color w:val="auto"/>
        </w:rPr>
        <w:t>is</w:t>
      </w:r>
      <w:proofErr w:type="gramEnd"/>
      <w:r w:rsidR="00D27AF7" w:rsidRPr="007E401D">
        <w:rPr>
          <w:rFonts w:ascii="Trebuchet MS" w:hAnsi="Trebuchet MS"/>
          <w:color w:val="auto"/>
        </w:rPr>
        <w:t xml:space="preserve"> a measure of </w:t>
      </w:r>
      <w:r w:rsidRPr="007E401D">
        <w:rPr>
          <w:rFonts w:ascii="Trebuchet MS" w:hAnsi="Trebuchet MS"/>
          <w:color w:val="auto"/>
        </w:rPr>
        <w:t xml:space="preserve">the number of months of operating expenses an organization can cover with </w:t>
      </w:r>
      <w:r w:rsidR="00D27AF7" w:rsidRPr="007E401D">
        <w:rPr>
          <w:rFonts w:ascii="Trebuchet MS" w:hAnsi="Trebuchet MS"/>
          <w:color w:val="auto"/>
        </w:rPr>
        <w:t xml:space="preserve">currently available </w:t>
      </w:r>
      <w:r w:rsidRPr="007E401D">
        <w:rPr>
          <w:rFonts w:ascii="Trebuchet MS" w:hAnsi="Trebuchet MS"/>
          <w:color w:val="auto"/>
        </w:rPr>
        <w:t>cash and cash equivalents.</w:t>
      </w:r>
    </w:p>
    <w:p w14:paraId="74893EBD" w14:textId="735420F7" w:rsidR="00EA7072" w:rsidRPr="007E401D" w:rsidRDefault="006F7D8B" w:rsidP="00EA7072">
      <w:pPr>
        <w:rPr>
          <w:color w:val="auto"/>
        </w:rPr>
      </w:pPr>
      <w:r>
        <w:rPr>
          <w:color w:val="auto"/>
        </w:rPr>
        <w:t>Include the following information</w:t>
      </w:r>
      <w:r w:rsidR="00EA7072" w:rsidRPr="007E401D">
        <w:rPr>
          <w:color w:val="auto"/>
        </w:rPr>
        <w:t>:</w:t>
      </w:r>
    </w:p>
    <w:p w14:paraId="5038E0CE" w14:textId="3DDBE1BF" w:rsidR="00EA7072" w:rsidRPr="007E401D" w:rsidRDefault="00EA7072" w:rsidP="00EA7072">
      <w:pPr>
        <w:pStyle w:val="ListParagraph"/>
        <w:numPr>
          <w:ilvl w:val="0"/>
          <w:numId w:val="22"/>
        </w:numPr>
        <w:rPr>
          <w:color w:val="auto"/>
        </w:rPr>
      </w:pPr>
      <w:r w:rsidRPr="007E401D">
        <w:rPr>
          <w:color w:val="auto"/>
        </w:rPr>
        <w:t>Current months of cash-on-hand and cash benchmark as identified by Board and Leadership</w:t>
      </w:r>
    </w:p>
    <w:p w14:paraId="652DF424" w14:textId="2DE52113" w:rsidR="00EA7072" w:rsidRDefault="00EA7072" w:rsidP="00EA7072">
      <w:pPr>
        <w:pStyle w:val="ListParagraph"/>
        <w:numPr>
          <w:ilvl w:val="0"/>
          <w:numId w:val="22"/>
        </w:numPr>
        <w:rPr>
          <w:color w:val="auto"/>
        </w:rPr>
      </w:pPr>
      <w:r w:rsidRPr="007E401D">
        <w:rPr>
          <w:color w:val="auto"/>
        </w:rPr>
        <w:t>If cash</w:t>
      </w:r>
      <w:r w:rsidR="00D27AF7" w:rsidRPr="007E401D">
        <w:rPr>
          <w:color w:val="auto"/>
        </w:rPr>
        <w:t>-on-hand</w:t>
      </w:r>
      <w:r w:rsidRPr="007E401D">
        <w:rPr>
          <w:color w:val="auto"/>
        </w:rPr>
        <w:t xml:space="preserve"> </w:t>
      </w:r>
      <w:r w:rsidR="00092D2E" w:rsidRPr="007E401D">
        <w:rPr>
          <w:color w:val="auto"/>
        </w:rPr>
        <w:t>covers</w:t>
      </w:r>
      <w:r w:rsidRPr="007E401D">
        <w:rPr>
          <w:color w:val="auto"/>
        </w:rPr>
        <w:t xml:space="preserve"> less </w:t>
      </w:r>
      <w:r w:rsidR="0093231E" w:rsidRPr="007E401D">
        <w:rPr>
          <w:color w:val="auto"/>
        </w:rPr>
        <w:t>than the benchmark months of expenses</w:t>
      </w:r>
      <w:r w:rsidRPr="007E401D">
        <w:rPr>
          <w:color w:val="auto"/>
        </w:rPr>
        <w:t xml:space="preserve">, </w:t>
      </w:r>
      <w:r w:rsidR="007E401D" w:rsidRPr="007E401D">
        <w:rPr>
          <w:color w:val="auto"/>
        </w:rPr>
        <w:t xml:space="preserve">a summary of </w:t>
      </w:r>
      <w:r w:rsidRPr="007E401D">
        <w:rPr>
          <w:color w:val="auto"/>
        </w:rPr>
        <w:t>the activities and actions leadership plans to take to ensure adequate cash to sustain operations</w:t>
      </w:r>
    </w:p>
    <w:p w14:paraId="2039359B" w14:textId="0074864B" w:rsidR="009E4C20" w:rsidRPr="009E4C20" w:rsidRDefault="009E4C20" w:rsidP="009E4C20">
      <w:pPr>
        <w:rPr>
          <w:b/>
          <w:bCs/>
          <w:color w:val="auto"/>
        </w:rPr>
      </w:pPr>
      <w:r w:rsidRPr="009E4C20">
        <w:rPr>
          <w:b/>
          <w:bCs/>
          <w:color w:val="auto"/>
        </w:rPr>
        <w:t>Other Items</w:t>
      </w:r>
    </w:p>
    <w:p w14:paraId="5E2AC244" w14:textId="142CF831" w:rsidR="009E4C20" w:rsidRDefault="009E4C20" w:rsidP="009E4C20">
      <w:pPr>
        <w:rPr>
          <w:color w:val="auto"/>
        </w:rPr>
      </w:pPr>
      <w:r>
        <w:rPr>
          <w:color w:val="auto"/>
        </w:rPr>
        <w:t>As applicable, include information on the following:</w:t>
      </w:r>
    </w:p>
    <w:p w14:paraId="03C12F4E" w14:textId="77777777" w:rsidR="009E4C20" w:rsidRDefault="009E4C20" w:rsidP="009E4C20">
      <w:pPr>
        <w:pStyle w:val="ListParagraph"/>
        <w:numPr>
          <w:ilvl w:val="0"/>
          <w:numId w:val="22"/>
        </w:numPr>
        <w:rPr>
          <w:color w:val="auto"/>
        </w:rPr>
      </w:pPr>
      <w:r>
        <w:rPr>
          <w:color w:val="auto"/>
        </w:rPr>
        <w:t>Significant aged payables or receivables</w:t>
      </w:r>
      <w:r w:rsidRPr="009E4C20">
        <w:rPr>
          <w:color w:val="auto"/>
        </w:rPr>
        <w:t xml:space="preserve"> </w:t>
      </w:r>
    </w:p>
    <w:p w14:paraId="68F18FCB" w14:textId="7B8E9022" w:rsidR="009E4C20" w:rsidRPr="007E401D" w:rsidRDefault="009E4C20" w:rsidP="009E4C20">
      <w:pPr>
        <w:pStyle w:val="ListParagraph"/>
        <w:numPr>
          <w:ilvl w:val="0"/>
          <w:numId w:val="22"/>
        </w:numPr>
        <w:rPr>
          <w:color w:val="auto"/>
        </w:rPr>
      </w:pPr>
      <w:r>
        <w:rPr>
          <w:color w:val="auto"/>
        </w:rPr>
        <w:t>Balance on the line of credit and other notable debt items</w:t>
      </w:r>
    </w:p>
    <w:p w14:paraId="6DBC314A" w14:textId="4FC6BD87" w:rsidR="009E4C20" w:rsidRPr="009E4C20" w:rsidRDefault="009E4C20" w:rsidP="009E4C20">
      <w:pPr>
        <w:pStyle w:val="ListParagraph"/>
        <w:numPr>
          <w:ilvl w:val="0"/>
          <w:numId w:val="22"/>
        </w:numPr>
        <w:rPr>
          <w:color w:val="auto"/>
        </w:rPr>
      </w:pPr>
      <w:r w:rsidRPr="007E401D">
        <w:rPr>
          <w:color w:val="auto"/>
        </w:rPr>
        <w:t>Detail</w:t>
      </w:r>
      <w:r>
        <w:rPr>
          <w:color w:val="auto"/>
        </w:rPr>
        <w:t>s</w:t>
      </w:r>
      <w:r w:rsidRPr="007E401D">
        <w:rPr>
          <w:color w:val="auto"/>
        </w:rPr>
        <w:t xml:space="preserve"> </w:t>
      </w:r>
      <w:r>
        <w:rPr>
          <w:color w:val="auto"/>
        </w:rPr>
        <w:t xml:space="preserve">on </w:t>
      </w:r>
      <w:r w:rsidRPr="007E401D">
        <w:rPr>
          <w:color w:val="auto"/>
        </w:rPr>
        <w:t xml:space="preserve">acquisition </w:t>
      </w:r>
      <w:r>
        <w:rPr>
          <w:color w:val="auto"/>
        </w:rPr>
        <w:t xml:space="preserve">or disposal </w:t>
      </w:r>
      <w:r w:rsidRPr="007E401D">
        <w:rPr>
          <w:color w:val="auto"/>
        </w:rPr>
        <w:t>of fixed assets</w:t>
      </w:r>
    </w:p>
    <w:p w14:paraId="69FA5C60" w14:textId="6C207088" w:rsidR="00087235" w:rsidRPr="00A42C28" w:rsidRDefault="00367E66" w:rsidP="009E4C20">
      <w:pPr>
        <w:spacing w:before="240"/>
        <w:jc w:val="center"/>
        <w:rPr>
          <w:rFonts w:ascii="Trebuchet MS" w:hAnsi="Trebuchet MS"/>
          <w:b/>
          <w:bCs/>
          <w:caps/>
          <w:color w:val="auto"/>
        </w:rPr>
      </w:pPr>
      <w:r w:rsidRPr="00A42C28">
        <w:rPr>
          <w:rFonts w:ascii="Trebuchet MS" w:hAnsi="Trebuchet MS"/>
          <w:b/>
          <w:bCs/>
          <w:caps/>
          <w:color w:val="auto"/>
        </w:rPr>
        <w:t xml:space="preserve">Statement of Activities </w:t>
      </w:r>
    </w:p>
    <w:p w14:paraId="002E77D1" w14:textId="55115FDD" w:rsidR="00367E66" w:rsidRPr="007E401D" w:rsidRDefault="00367E66" w:rsidP="00DA168F">
      <w:pPr>
        <w:spacing w:before="240"/>
        <w:rPr>
          <w:rFonts w:ascii="Trebuchet MS" w:hAnsi="Trebuchet MS"/>
          <w:b/>
          <w:bCs/>
          <w:color w:val="auto"/>
        </w:rPr>
      </w:pPr>
      <w:r w:rsidRPr="007E401D">
        <w:rPr>
          <w:rFonts w:ascii="Trebuchet MS" w:hAnsi="Trebuchet MS"/>
          <w:b/>
          <w:bCs/>
          <w:color w:val="auto"/>
        </w:rPr>
        <w:t>Operating Results</w:t>
      </w:r>
      <w:r w:rsidR="00EA7072" w:rsidRPr="007E401D">
        <w:rPr>
          <w:rFonts w:ascii="Trebuchet MS" w:hAnsi="Trebuchet MS"/>
          <w:b/>
          <w:bCs/>
          <w:color w:val="auto"/>
        </w:rPr>
        <w:t xml:space="preserve"> &amp; Year-End Forecast</w:t>
      </w:r>
    </w:p>
    <w:p w14:paraId="2F016355" w14:textId="0EBB3260" w:rsidR="00F74617" w:rsidRPr="007E401D" w:rsidRDefault="00F74617" w:rsidP="00F74617">
      <w:pPr>
        <w:rPr>
          <w:color w:val="auto"/>
        </w:rPr>
      </w:pPr>
      <w:r w:rsidRPr="007E401D">
        <w:rPr>
          <w:color w:val="auto"/>
        </w:rPr>
        <w:t xml:space="preserve">Operating results are the difference between </w:t>
      </w:r>
      <w:r w:rsidRPr="007E401D">
        <w:rPr>
          <w:b/>
          <w:bCs/>
          <w:color w:val="auto"/>
        </w:rPr>
        <w:t>unrestricted</w:t>
      </w:r>
      <w:r w:rsidRPr="007E401D">
        <w:rPr>
          <w:color w:val="auto"/>
        </w:rPr>
        <w:t xml:space="preserve"> revenue and expense.</w:t>
      </w:r>
      <w:r w:rsidR="00EA7072" w:rsidRPr="007E401D">
        <w:rPr>
          <w:color w:val="auto"/>
        </w:rPr>
        <w:t xml:space="preserve"> </w:t>
      </w:r>
      <w:r w:rsidR="006F7D8B" w:rsidRPr="007E401D">
        <w:rPr>
          <w:color w:val="auto"/>
        </w:rPr>
        <w:t xml:space="preserve">Operating results are the key source of accumulation or depletion of reserves, signaling the sustainability of the business model. </w:t>
      </w:r>
      <w:r w:rsidR="00EA7072" w:rsidRPr="007E401D">
        <w:rPr>
          <w:color w:val="auto"/>
        </w:rPr>
        <w:t>Positive operating results build reserves, while negative operating results deplete reserves</w:t>
      </w:r>
      <w:r w:rsidR="00D27AF7" w:rsidRPr="007E401D">
        <w:rPr>
          <w:color w:val="auto"/>
        </w:rPr>
        <w:t xml:space="preserve"> or increase debt</w:t>
      </w:r>
      <w:r w:rsidR="00EA7072" w:rsidRPr="007E401D">
        <w:rPr>
          <w:color w:val="auto"/>
        </w:rPr>
        <w:t>.</w:t>
      </w:r>
    </w:p>
    <w:p w14:paraId="5EF867BD" w14:textId="30AB69F1" w:rsidR="00EA7072" w:rsidRPr="007E401D" w:rsidRDefault="00EA7072" w:rsidP="00F74617">
      <w:pPr>
        <w:rPr>
          <w:color w:val="auto"/>
        </w:rPr>
      </w:pPr>
      <w:r w:rsidRPr="007E401D">
        <w:rPr>
          <w:color w:val="auto"/>
        </w:rPr>
        <w:t xml:space="preserve">A </w:t>
      </w:r>
      <w:r w:rsidR="009E4C20">
        <w:rPr>
          <w:color w:val="auto"/>
        </w:rPr>
        <w:t>y</w:t>
      </w:r>
      <w:r w:rsidRPr="007E401D">
        <w:rPr>
          <w:color w:val="auto"/>
        </w:rPr>
        <w:t>ear-</w:t>
      </w:r>
      <w:r w:rsidR="009E4C20">
        <w:rPr>
          <w:color w:val="auto"/>
        </w:rPr>
        <w:t>e</w:t>
      </w:r>
      <w:r w:rsidRPr="007E401D">
        <w:rPr>
          <w:color w:val="auto"/>
        </w:rPr>
        <w:t xml:space="preserve">nd </w:t>
      </w:r>
      <w:r w:rsidR="009E4C20">
        <w:rPr>
          <w:color w:val="auto"/>
        </w:rPr>
        <w:t>f</w:t>
      </w:r>
      <w:r w:rsidRPr="007E401D">
        <w:rPr>
          <w:color w:val="auto"/>
        </w:rPr>
        <w:t xml:space="preserve">orecast projects the anticipated operating results of an organization </w:t>
      </w:r>
      <w:r w:rsidR="00F67EA0">
        <w:rPr>
          <w:color w:val="auto"/>
        </w:rPr>
        <w:t>through</w:t>
      </w:r>
      <w:r w:rsidRPr="007E401D">
        <w:rPr>
          <w:color w:val="auto"/>
        </w:rPr>
        <w:t xml:space="preserve"> the end of the fiscal year. Year-end forecasts use all </w:t>
      </w:r>
      <w:r w:rsidR="006F7D8B">
        <w:rPr>
          <w:color w:val="auto"/>
        </w:rPr>
        <w:t xml:space="preserve">revenue </w:t>
      </w:r>
      <w:r w:rsidRPr="007E401D">
        <w:rPr>
          <w:color w:val="auto"/>
        </w:rPr>
        <w:t xml:space="preserve">information </w:t>
      </w:r>
      <w:r w:rsidR="006F7D8B">
        <w:rPr>
          <w:color w:val="auto"/>
        </w:rPr>
        <w:t>available</w:t>
      </w:r>
      <w:r w:rsidR="006F7D8B" w:rsidRPr="007E401D">
        <w:rPr>
          <w:color w:val="auto"/>
        </w:rPr>
        <w:t xml:space="preserve"> </w:t>
      </w:r>
      <w:r w:rsidRPr="007E401D">
        <w:rPr>
          <w:color w:val="auto"/>
        </w:rPr>
        <w:t xml:space="preserve">to date, paired with the projected </w:t>
      </w:r>
      <w:r w:rsidR="009E4C20">
        <w:rPr>
          <w:color w:val="auto"/>
        </w:rPr>
        <w:t>expenses</w:t>
      </w:r>
      <w:r w:rsidRPr="007E401D">
        <w:rPr>
          <w:color w:val="auto"/>
        </w:rPr>
        <w:t xml:space="preserve"> for the remaining months of the fiscal</w:t>
      </w:r>
      <w:r w:rsidR="006F7D8B">
        <w:rPr>
          <w:color w:val="auto"/>
        </w:rPr>
        <w:t xml:space="preserve"> year</w:t>
      </w:r>
      <w:r w:rsidR="009E4C20">
        <w:rPr>
          <w:color w:val="auto"/>
        </w:rPr>
        <w:t xml:space="preserve"> based on management’s intended plans</w:t>
      </w:r>
      <w:r w:rsidRPr="007E401D">
        <w:rPr>
          <w:color w:val="auto"/>
        </w:rPr>
        <w:t xml:space="preserve">. </w:t>
      </w:r>
    </w:p>
    <w:p w14:paraId="1A78C1AB" w14:textId="0BB1208B" w:rsidR="00B7285B" w:rsidRPr="007E401D" w:rsidRDefault="00B7285B" w:rsidP="00B7285B">
      <w:pPr>
        <w:rPr>
          <w:color w:val="auto"/>
        </w:rPr>
      </w:pPr>
      <w:r w:rsidRPr="007E401D">
        <w:rPr>
          <w:color w:val="auto"/>
        </w:rPr>
        <w:t>Include the following information:</w:t>
      </w:r>
    </w:p>
    <w:p w14:paraId="247C2961" w14:textId="6F981C59" w:rsidR="00B7285B" w:rsidRPr="007E401D" w:rsidRDefault="006F7D8B" w:rsidP="00B7285B">
      <w:pPr>
        <w:pStyle w:val="ListParagraph"/>
        <w:numPr>
          <w:ilvl w:val="0"/>
          <w:numId w:val="22"/>
        </w:numPr>
        <w:rPr>
          <w:color w:val="auto"/>
        </w:rPr>
      </w:pPr>
      <w:r>
        <w:rPr>
          <w:color w:val="auto"/>
        </w:rPr>
        <w:t xml:space="preserve">Year-to-date excess (or deficit) of revenue over expense, </w:t>
      </w:r>
      <w:r w:rsidR="00332566">
        <w:rPr>
          <w:color w:val="auto"/>
        </w:rPr>
        <w:t>compared</w:t>
      </w:r>
      <w:r>
        <w:rPr>
          <w:color w:val="auto"/>
        </w:rPr>
        <w:t xml:space="preserve"> to budget and the</w:t>
      </w:r>
      <w:r w:rsidR="00B7285B" w:rsidRPr="007E401D">
        <w:rPr>
          <w:color w:val="auto"/>
        </w:rPr>
        <w:t xml:space="preserve"> year-end forecast</w:t>
      </w:r>
    </w:p>
    <w:p w14:paraId="7B1976DF" w14:textId="25A100D4" w:rsidR="00B7285B" w:rsidRPr="007E401D" w:rsidRDefault="00B7285B" w:rsidP="00B7285B">
      <w:pPr>
        <w:pStyle w:val="ListParagraph"/>
        <w:numPr>
          <w:ilvl w:val="0"/>
          <w:numId w:val="22"/>
        </w:numPr>
        <w:rPr>
          <w:color w:val="auto"/>
        </w:rPr>
      </w:pPr>
      <w:r w:rsidRPr="007E401D">
        <w:rPr>
          <w:color w:val="auto"/>
        </w:rPr>
        <w:t xml:space="preserve">Brief remarks on the </w:t>
      </w:r>
      <w:r w:rsidR="00BB22F0">
        <w:rPr>
          <w:color w:val="auto"/>
        </w:rPr>
        <w:t xml:space="preserve">drivers of </w:t>
      </w:r>
      <w:r w:rsidRPr="007E401D">
        <w:rPr>
          <w:color w:val="auto"/>
        </w:rPr>
        <w:t xml:space="preserve">primary expense and revenue </w:t>
      </w:r>
      <w:r w:rsidR="00BB22F0">
        <w:rPr>
          <w:color w:val="auto"/>
        </w:rPr>
        <w:t>variances</w:t>
      </w:r>
    </w:p>
    <w:p w14:paraId="51DCA02B" w14:textId="39966D5A" w:rsidR="00AC0CCC" w:rsidRPr="007E401D" w:rsidRDefault="00AC0CCC" w:rsidP="00ED6685">
      <w:pPr>
        <w:spacing w:before="240"/>
        <w:rPr>
          <w:rFonts w:ascii="Trebuchet MS" w:hAnsi="Trebuchet MS"/>
          <w:b/>
          <w:bCs/>
          <w:color w:val="auto"/>
        </w:rPr>
      </w:pPr>
      <w:r w:rsidRPr="007E401D">
        <w:rPr>
          <w:rFonts w:ascii="Trebuchet MS" w:hAnsi="Trebuchet MS"/>
          <w:b/>
          <w:bCs/>
          <w:color w:val="auto"/>
        </w:rPr>
        <w:t>Revenue</w:t>
      </w:r>
    </w:p>
    <w:p w14:paraId="77790958" w14:textId="53A4648E" w:rsidR="00314D9D" w:rsidRDefault="00AC0CCC" w:rsidP="00AC0CCC">
      <w:pPr>
        <w:rPr>
          <w:rFonts w:ascii="Trebuchet MS" w:hAnsi="Trebuchet MS"/>
          <w:color w:val="auto"/>
        </w:rPr>
      </w:pPr>
      <w:r w:rsidRPr="007E401D">
        <w:rPr>
          <w:rFonts w:ascii="Trebuchet MS" w:hAnsi="Trebuchet MS"/>
          <w:color w:val="auto"/>
        </w:rPr>
        <w:t xml:space="preserve">Include a description of the organization’s overall revenue </w:t>
      </w:r>
      <w:r w:rsidR="0062707A">
        <w:rPr>
          <w:rFonts w:ascii="Trebuchet MS" w:hAnsi="Trebuchet MS"/>
          <w:color w:val="auto"/>
        </w:rPr>
        <w:t>forecast</w:t>
      </w:r>
      <w:r w:rsidRPr="007E401D">
        <w:rPr>
          <w:rFonts w:ascii="Trebuchet MS" w:hAnsi="Trebuchet MS"/>
          <w:color w:val="auto"/>
        </w:rPr>
        <w:t xml:space="preserve"> for the year, with comparisons to the prior year’s budget</w:t>
      </w:r>
      <w:r w:rsidR="00780612" w:rsidRPr="007E401D">
        <w:rPr>
          <w:rFonts w:ascii="Trebuchet MS" w:hAnsi="Trebuchet MS"/>
          <w:color w:val="auto"/>
        </w:rPr>
        <w:t xml:space="preserve"> and year-to-date financials</w:t>
      </w:r>
      <w:r w:rsidRPr="007E401D">
        <w:rPr>
          <w:rFonts w:ascii="Trebuchet MS" w:hAnsi="Trebuchet MS"/>
          <w:color w:val="auto"/>
        </w:rPr>
        <w:t>.</w:t>
      </w:r>
      <w:r w:rsidR="00314D9D">
        <w:rPr>
          <w:rFonts w:ascii="Trebuchet MS" w:hAnsi="Trebuchet MS"/>
          <w:color w:val="auto"/>
        </w:rPr>
        <w:t xml:space="preserve"> A </w:t>
      </w:r>
      <w:r w:rsidR="008973C0">
        <w:rPr>
          <w:rFonts w:ascii="Trebuchet MS" w:hAnsi="Trebuchet MS"/>
          <w:color w:val="auto"/>
        </w:rPr>
        <w:t>high</w:t>
      </w:r>
      <w:r w:rsidR="003567CA">
        <w:rPr>
          <w:rFonts w:ascii="Trebuchet MS" w:hAnsi="Trebuchet MS"/>
          <w:color w:val="auto"/>
        </w:rPr>
        <w:t>-</w:t>
      </w:r>
      <w:r w:rsidR="008973C0">
        <w:rPr>
          <w:rFonts w:ascii="Trebuchet MS" w:hAnsi="Trebuchet MS"/>
          <w:color w:val="auto"/>
        </w:rPr>
        <w:t xml:space="preserve">level chart or graph summarizing </w:t>
      </w:r>
      <w:r w:rsidR="00554E34">
        <w:rPr>
          <w:rFonts w:ascii="Trebuchet MS" w:hAnsi="Trebuchet MS"/>
          <w:color w:val="auto"/>
        </w:rPr>
        <w:t>actual and forecasted results</w:t>
      </w:r>
      <w:r w:rsidR="0062707A">
        <w:rPr>
          <w:rFonts w:ascii="Trebuchet MS" w:hAnsi="Trebuchet MS"/>
          <w:color w:val="auto"/>
        </w:rPr>
        <w:t>, by revenue category,</w:t>
      </w:r>
      <w:r w:rsidR="00554E34">
        <w:rPr>
          <w:rFonts w:ascii="Trebuchet MS" w:hAnsi="Trebuchet MS"/>
          <w:color w:val="auto"/>
        </w:rPr>
        <w:t xml:space="preserve"> may be useful to include in this section.</w:t>
      </w:r>
    </w:p>
    <w:p w14:paraId="73E892C6" w14:textId="6170E6E6" w:rsidR="00B7285B" w:rsidRPr="007E401D" w:rsidRDefault="00B7285B" w:rsidP="00B7285B">
      <w:pPr>
        <w:rPr>
          <w:color w:val="auto"/>
        </w:rPr>
      </w:pPr>
      <w:r w:rsidRPr="007E401D">
        <w:rPr>
          <w:color w:val="auto"/>
        </w:rPr>
        <w:t>Include the following information:</w:t>
      </w:r>
    </w:p>
    <w:p w14:paraId="3C53A8CC" w14:textId="449379FF" w:rsidR="00B7285B" w:rsidRPr="007E401D" w:rsidRDefault="00B7285B" w:rsidP="00B7285B">
      <w:pPr>
        <w:pStyle w:val="ListParagraph"/>
        <w:numPr>
          <w:ilvl w:val="0"/>
          <w:numId w:val="22"/>
        </w:numPr>
        <w:rPr>
          <w:color w:val="auto"/>
        </w:rPr>
      </w:pPr>
      <w:r w:rsidRPr="007E401D">
        <w:rPr>
          <w:color w:val="auto"/>
        </w:rPr>
        <w:t>Highlight primary revenue categories that are significantly over or under their budget targets for year-to-date</w:t>
      </w:r>
      <w:r w:rsidR="00BB22F0">
        <w:rPr>
          <w:color w:val="auto"/>
        </w:rPr>
        <w:t xml:space="preserve"> and describe what is driving the variances</w:t>
      </w:r>
      <w:r w:rsidRPr="007E401D">
        <w:rPr>
          <w:color w:val="auto"/>
        </w:rPr>
        <w:t xml:space="preserve">. </w:t>
      </w:r>
    </w:p>
    <w:p w14:paraId="4A1FF13F" w14:textId="4BAE5178" w:rsidR="00B7285B" w:rsidRPr="007E401D" w:rsidRDefault="00B7285B" w:rsidP="00B7285B">
      <w:pPr>
        <w:pStyle w:val="ListParagraph"/>
        <w:numPr>
          <w:ilvl w:val="0"/>
          <w:numId w:val="22"/>
        </w:numPr>
        <w:rPr>
          <w:color w:val="auto"/>
        </w:rPr>
      </w:pPr>
      <w:r w:rsidRPr="007E401D">
        <w:rPr>
          <w:color w:val="auto"/>
        </w:rPr>
        <w:t>Provide backwards-looking context: what significant revenue</w:t>
      </w:r>
      <w:r w:rsidR="003A290E" w:rsidRPr="007E401D">
        <w:rPr>
          <w:color w:val="auto"/>
        </w:rPr>
        <w:t>-</w:t>
      </w:r>
      <w:r w:rsidRPr="007E401D">
        <w:rPr>
          <w:color w:val="auto"/>
        </w:rPr>
        <w:t xml:space="preserve">generating activities, opportunities, or challenges has the organization encountered in the </w:t>
      </w:r>
      <w:r w:rsidR="003A290E" w:rsidRPr="007E401D">
        <w:rPr>
          <w:color w:val="auto"/>
        </w:rPr>
        <w:t>p</w:t>
      </w:r>
      <w:r w:rsidRPr="007E401D">
        <w:rPr>
          <w:color w:val="auto"/>
        </w:rPr>
        <w:t>ast month or quarter?</w:t>
      </w:r>
    </w:p>
    <w:p w14:paraId="1104F67F" w14:textId="329ACA49" w:rsidR="00B7285B" w:rsidRPr="007E401D" w:rsidRDefault="00B7285B" w:rsidP="00B7285B">
      <w:pPr>
        <w:pStyle w:val="ListParagraph"/>
        <w:numPr>
          <w:ilvl w:val="0"/>
          <w:numId w:val="22"/>
        </w:numPr>
        <w:rPr>
          <w:color w:val="auto"/>
        </w:rPr>
      </w:pPr>
      <w:r w:rsidRPr="007E401D">
        <w:rPr>
          <w:color w:val="auto"/>
        </w:rPr>
        <w:t xml:space="preserve">Provide forward-looking planning: What does the organization need </w:t>
      </w:r>
      <w:proofErr w:type="gramStart"/>
      <w:r w:rsidRPr="007E401D">
        <w:rPr>
          <w:color w:val="auto"/>
        </w:rPr>
        <w:t>in order to</w:t>
      </w:r>
      <w:proofErr w:type="gramEnd"/>
      <w:r w:rsidRPr="007E401D">
        <w:rPr>
          <w:color w:val="auto"/>
        </w:rPr>
        <w:t xml:space="preserve"> achieve its revenue targets? Where might there be anticipated funding gaps?</w:t>
      </w:r>
    </w:p>
    <w:p w14:paraId="76A854E8" w14:textId="4AEB54EF" w:rsidR="00AC0CCC" w:rsidRDefault="00FA5AA3" w:rsidP="00FA5AA3">
      <w:pPr>
        <w:pStyle w:val="ListParagraph"/>
        <w:ind w:left="0" w:firstLine="0"/>
        <w:rPr>
          <w:rFonts w:ascii="Trebuchet MS" w:hAnsi="Trebuchet MS"/>
          <w:color w:val="auto"/>
        </w:rPr>
      </w:pPr>
      <w:r>
        <w:rPr>
          <w:rFonts w:ascii="Trebuchet MS" w:hAnsi="Trebuchet MS"/>
          <w:color w:val="auto"/>
        </w:rPr>
        <w:t>For revenue streams where there is significant uncertainty, discuss the pipeline and likelihood of revenue receipt. For instance, include information on which grants/contributions are committed, pending, and “to be raised,” providing clarity on the criteria for each category.</w:t>
      </w:r>
    </w:p>
    <w:p w14:paraId="71843C7C" w14:textId="77777777" w:rsidR="00DA168F" w:rsidRDefault="00DA168F" w:rsidP="00ED6685">
      <w:pPr>
        <w:spacing w:before="240"/>
        <w:rPr>
          <w:rFonts w:ascii="Trebuchet MS" w:hAnsi="Trebuchet MS"/>
          <w:b/>
          <w:bCs/>
          <w:color w:val="auto"/>
        </w:rPr>
      </w:pPr>
    </w:p>
    <w:p w14:paraId="295F9659" w14:textId="77777777" w:rsidR="00DA168F" w:rsidRDefault="00DA168F" w:rsidP="00ED6685">
      <w:pPr>
        <w:spacing w:before="240"/>
        <w:rPr>
          <w:rFonts w:ascii="Trebuchet MS" w:hAnsi="Trebuchet MS"/>
          <w:b/>
          <w:bCs/>
          <w:color w:val="auto"/>
        </w:rPr>
      </w:pPr>
    </w:p>
    <w:p w14:paraId="26A2A0D6" w14:textId="791157BB" w:rsidR="00AC0CCC" w:rsidRPr="007E401D" w:rsidRDefault="00AC0CCC" w:rsidP="00ED6685">
      <w:pPr>
        <w:spacing w:before="240"/>
        <w:rPr>
          <w:rFonts w:ascii="Trebuchet MS" w:hAnsi="Trebuchet MS"/>
          <w:b/>
          <w:bCs/>
          <w:color w:val="auto"/>
        </w:rPr>
      </w:pPr>
      <w:r w:rsidRPr="007E401D">
        <w:rPr>
          <w:rFonts w:ascii="Trebuchet MS" w:hAnsi="Trebuchet MS"/>
          <w:b/>
          <w:bCs/>
          <w:color w:val="auto"/>
        </w:rPr>
        <w:lastRenderedPageBreak/>
        <w:t>Expense</w:t>
      </w:r>
      <w:r w:rsidR="00087235" w:rsidRPr="007E401D">
        <w:rPr>
          <w:rFonts w:ascii="Trebuchet MS" w:hAnsi="Trebuchet MS"/>
          <w:b/>
          <w:bCs/>
          <w:color w:val="auto"/>
        </w:rPr>
        <w:t>s</w:t>
      </w:r>
    </w:p>
    <w:p w14:paraId="5F58628E" w14:textId="0BBCD318" w:rsidR="00B7285B" w:rsidRPr="007E401D" w:rsidRDefault="00AC0CCC" w:rsidP="00AC0CCC">
      <w:pPr>
        <w:rPr>
          <w:rFonts w:ascii="Trebuchet MS" w:hAnsi="Trebuchet MS"/>
          <w:color w:val="auto"/>
        </w:rPr>
      </w:pPr>
      <w:r w:rsidRPr="007E401D">
        <w:rPr>
          <w:rFonts w:ascii="Trebuchet MS" w:hAnsi="Trebuchet MS"/>
          <w:color w:val="auto"/>
        </w:rPr>
        <w:t xml:space="preserve">Include a description of the organization’s </w:t>
      </w:r>
      <w:r w:rsidR="0062707A">
        <w:rPr>
          <w:rFonts w:ascii="Trebuchet MS" w:hAnsi="Trebuchet MS"/>
          <w:color w:val="auto"/>
        </w:rPr>
        <w:t>forecasted</w:t>
      </w:r>
      <w:r w:rsidRPr="007E401D">
        <w:rPr>
          <w:rFonts w:ascii="Trebuchet MS" w:hAnsi="Trebuchet MS"/>
          <w:color w:val="auto"/>
        </w:rPr>
        <w:t xml:space="preserve"> expense</w:t>
      </w:r>
      <w:r w:rsidR="0062707A">
        <w:rPr>
          <w:rFonts w:ascii="Trebuchet MS" w:hAnsi="Trebuchet MS"/>
          <w:color w:val="auto"/>
        </w:rPr>
        <w:t>s</w:t>
      </w:r>
      <w:r w:rsidRPr="007E401D">
        <w:rPr>
          <w:rFonts w:ascii="Trebuchet MS" w:hAnsi="Trebuchet MS"/>
          <w:color w:val="auto"/>
        </w:rPr>
        <w:t xml:space="preserve"> for the year, with comparisons to the prior year’s budget. </w:t>
      </w:r>
      <w:r w:rsidR="00767327">
        <w:rPr>
          <w:rFonts w:ascii="Trebuchet MS" w:hAnsi="Trebuchet MS"/>
          <w:color w:val="auto"/>
        </w:rPr>
        <w:t>A high-level chart or graph summarizing actual and forecasted results, by program and/or expense category, may be useful to include in this section.</w:t>
      </w:r>
    </w:p>
    <w:p w14:paraId="11B1D2BE" w14:textId="34D8117D" w:rsidR="00AC0CCC" w:rsidRPr="007E401D" w:rsidRDefault="00EB3E60" w:rsidP="00780612">
      <w:pPr>
        <w:rPr>
          <w:rFonts w:ascii="Trebuchet MS" w:hAnsi="Trebuchet MS"/>
          <w:color w:val="auto"/>
        </w:rPr>
      </w:pPr>
      <w:r w:rsidRPr="007E401D">
        <w:rPr>
          <w:color w:val="auto"/>
        </w:rPr>
        <w:t>Include the following information:</w:t>
      </w:r>
    </w:p>
    <w:p w14:paraId="4E78192D" w14:textId="4777D97F" w:rsidR="00B7285B" w:rsidRPr="007E401D" w:rsidRDefault="00B7285B" w:rsidP="00B7285B">
      <w:pPr>
        <w:pStyle w:val="ListParagraph"/>
        <w:numPr>
          <w:ilvl w:val="0"/>
          <w:numId w:val="22"/>
        </w:numPr>
        <w:rPr>
          <w:color w:val="auto"/>
        </w:rPr>
      </w:pPr>
      <w:r w:rsidRPr="007E401D">
        <w:rPr>
          <w:color w:val="auto"/>
        </w:rPr>
        <w:t>Highlight primary expense categories that are significantly over or under their budget targets for year-to-date</w:t>
      </w:r>
      <w:r w:rsidR="00BB22F0">
        <w:rPr>
          <w:color w:val="auto"/>
        </w:rPr>
        <w:t xml:space="preserve"> and describe what is driving the variances</w:t>
      </w:r>
      <w:r w:rsidRPr="007E401D">
        <w:rPr>
          <w:color w:val="auto"/>
        </w:rPr>
        <w:t xml:space="preserve">. </w:t>
      </w:r>
    </w:p>
    <w:p w14:paraId="706AA4F1" w14:textId="1861A25F" w:rsidR="00B7285B" w:rsidRPr="007E401D" w:rsidRDefault="00B7285B" w:rsidP="00B7285B">
      <w:pPr>
        <w:pStyle w:val="ListParagraph"/>
        <w:numPr>
          <w:ilvl w:val="0"/>
          <w:numId w:val="22"/>
        </w:numPr>
        <w:rPr>
          <w:color w:val="auto"/>
        </w:rPr>
      </w:pPr>
      <w:r w:rsidRPr="007E401D">
        <w:rPr>
          <w:color w:val="auto"/>
        </w:rPr>
        <w:t xml:space="preserve">Provide backwards-looking context: what significant activities, opportunities, or challenges has the organization encountered in the </w:t>
      </w:r>
      <w:r w:rsidR="003A290E" w:rsidRPr="007E401D">
        <w:rPr>
          <w:color w:val="auto"/>
        </w:rPr>
        <w:t>p</w:t>
      </w:r>
      <w:r w:rsidRPr="007E401D">
        <w:rPr>
          <w:color w:val="auto"/>
        </w:rPr>
        <w:t>ast month or quarter that may have impacted expenses?</w:t>
      </w:r>
    </w:p>
    <w:p w14:paraId="55D7C8AC" w14:textId="11A48AB4" w:rsidR="00087235" w:rsidRPr="00BE3BF2" w:rsidRDefault="00B7285B" w:rsidP="00AC0CCC">
      <w:pPr>
        <w:pStyle w:val="ListParagraph"/>
        <w:numPr>
          <w:ilvl w:val="0"/>
          <w:numId w:val="22"/>
        </w:numPr>
        <w:rPr>
          <w:color w:val="auto"/>
        </w:rPr>
      </w:pPr>
      <w:r w:rsidRPr="007E401D">
        <w:rPr>
          <w:color w:val="auto"/>
        </w:rPr>
        <w:t xml:space="preserve">Provide forward-looking planning: How will the organization </w:t>
      </w:r>
      <w:r w:rsidR="00BB22F0">
        <w:rPr>
          <w:color w:val="auto"/>
        </w:rPr>
        <w:t>stay on track</w:t>
      </w:r>
      <w:r w:rsidRPr="007E401D">
        <w:rPr>
          <w:color w:val="auto"/>
        </w:rPr>
        <w:t xml:space="preserve"> through the remainder of the fiscal year? </w:t>
      </w:r>
      <w:r w:rsidR="000444F5" w:rsidRPr="007E401D">
        <w:rPr>
          <w:color w:val="auto"/>
        </w:rPr>
        <w:t xml:space="preserve">Are there expenses that are </w:t>
      </w:r>
      <w:r w:rsidR="00092D2E" w:rsidRPr="007E401D">
        <w:rPr>
          <w:color w:val="auto"/>
        </w:rPr>
        <w:t>expected</w:t>
      </w:r>
      <w:r w:rsidR="000444F5" w:rsidRPr="007E401D">
        <w:rPr>
          <w:color w:val="auto"/>
        </w:rPr>
        <w:t xml:space="preserve"> to significantly grow or shrink in the remaining months of the year?</w:t>
      </w:r>
    </w:p>
    <w:p w14:paraId="22209903" w14:textId="2CB98915" w:rsidR="00DA168F" w:rsidRDefault="00DA168F" w:rsidP="00DA168F">
      <w:pPr>
        <w:spacing w:before="240"/>
        <w:jc w:val="center"/>
        <w:rPr>
          <w:rFonts w:ascii="Trebuchet MS" w:hAnsi="Trebuchet MS"/>
          <w:b/>
          <w:bCs/>
          <w:color w:val="auto"/>
        </w:rPr>
      </w:pPr>
      <w:r>
        <w:rPr>
          <w:rFonts w:ascii="Trebuchet MS" w:hAnsi="Trebuchet MS"/>
          <w:b/>
          <w:bCs/>
          <w:caps/>
          <w:color w:val="auto"/>
        </w:rPr>
        <w:t>OTHER ITEMS</w:t>
      </w:r>
    </w:p>
    <w:p w14:paraId="075820EF" w14:textId="7333B7D7" w:rsidR="00AC0CCC" w:rsidRPr="007E401D" w:rsidRDefault="00AC0CCC" w:rsidP="00BE3BF2">
      <w:pPr>
        <w:spacing w:before="240"/>
        <w:rPr>
          <w:rFonts w:ascii="Trebuchet MS" w:hAnsi="Trebuchet MS"/>
          <w:b/>
          <w:bCs/>
          <w:color w:val="auto"/>
        </w:rPr>
      </w:pPr>
      <w:r w:rsidRPr="007E401D">
        <w:rPr>
          <w:rFonts w:ascii="Trebuchet MS" w:hAnsi="Trebuchet MS"/>
          <w:b/>
          <w:bCs/>
          <w:color w:val="auto"/>
        </w:rPr>
        <w:t>Contingencies and Alternate Scenarios</w:t>
      </w:r>
    </w:p>
    <w:p w14:paraId="57F52EE4" w14:textId="0BBDE0AE" w:rsidR="00AC0CCC" w:rsidRPr="00C15EC7" w:rsidRDefault="00AC0CCC" w:rsidP="00E6794A">
      <w:pPr>
        <w:rPr>
          <w:rFonts w:ascii="Trebuchet MS" w:hAnsi="Trebuchet MS"/>
          <w:color w:val="auto"/>
        </w:rPr>
      </w:pPr>
      <w:r w:rsidRPr="007E401D">
        <w:rPr>
          <w:rFonts w:ascii="Trebuchet MS" w:hAnsi="Trebuchet MS"/>
          <w:color w:val="auto"/>
        </w:rPr>
        <w:t xml:space="preserve">If the organization </w:t>
      </w:r>
      <w:r w:rsidR="003A290E" w:rsidRPr="007E401D">
        <w:rPr>
          <w:rFonts w:ascii="Trebuchet MS" w:hAnsi="Trebuchet MS"/>
          <w:color w:val="auto"/>
        </w:rPr>
        <w:t xml:space="preserve">is considering </w:t>
      </w:r>
      <w:r w:rsidRPr="007E401D">
        <w:rPr>
          <w:rFonts w:ascii="Trebuchet MS" w:hAnsi="Trebuchet MS"/>
          <w:color w:val="auto"/>
        </w:rPr>
        <w:t xml:space="preserve">any future events or developments that could materially affect the </w:t>
      </w:r>
      <w:r w:rsidR="000444F5" w:rsidRPr="007E401D">
        <w:rPr>
          <w:rFonts w:ascii="Trebuchet MS" w:hAnsi="Trebuchet MS"/>
          <w:color w:val="auto"/>
        </w:rPr>
        <w:t>year-end forecast</w:t>
      </w:r>
      <w:r w:rsidRPr="007E401D">
        <w:rPr>
          <w:rFonts w:ascii="Trebuchet MS" w:hAnsi="Trebuchet MS"/>
          <w:color w:val="auto"/>
        </w:rPr>
        <w:t>, discuss those here. These</w:t>
      </w:r>
      <w:r w:rsidR="00D13CA5">
        <w:rPr>
          <w:rFonts w:ascii="Trebuchet MS" w:hAnsi="Trebuchet MS"/>
          <w:color w:val="auto"/>
        </w:rPr>
        <w:t xml:space="preserve"> events</w:t>
      </w:r>
      <w:r w:rsidRPr="007E401D">
        <w:rPr>
          <w:rFonts w:ascii="Trebuchet MS" w:hAnsi="Trebuchet MS"/>
          <w:color w:val="auto"/>
        </w:rPr>
        <w:t xml:space="preserve"> might include larger macroeconomic changes (e.g. inflation, interest rate increases, recession</w:t>
      </w:r>
      <w:r w:rsidR="005967B1">
        <w:rPr>
          <w:rFonts w:ascii="Trebuchet MS" w:hAnsi="Trebuchet MS"/>
          <w:color w:val="auto"/>
        </w:rPr>
        <w:t>, etc.</w:t>
      </w:r>
      <w:r w:rsidRPr="007E401D">
        <w:rPr>
          <w:rFonts w:ascii="Trebuchet MS" w:hAnsi="Trebuchet MS"/>
          <w:color w:val="auto"/>
        </w:rPr>
        <w:t>), sudden reductions in revenue, or the possible receipt of a large, unanticipated grant.</w:t>
      </w:r>
      <w:r w:rsidRPr="007E401D">
        <w:rPr>
          <w:color w:val="auto"/>
        </w:rPr>
        <w:tab/>
      </w:r>
    </w:p>
    <w:p w14:paraId="70D4D1E7" w14:textId="2F82CF7E" w:rsidR="00780612" w:rsidRPr="007E401D" w:rsidRDefault="000444F5" w:rsidP="00C15EC7">
      <w:pPr>
        <w:spacing w:before="240"/>
        <w:rPr>
          <w:rFonts w:ascii="Trebuchet MS" w:hAnsi="Trebuchet MS"/>
          <w:b/>
          <w:bCs/>
          <w:color w:val="auto"/>
        </w:rPr>
      </w:pPr>
      <w:r w:rsidRPr="007E401D">
        <w:rPr>
          <w:rFonts w:ascii="Trebuchet MS" w:hAnsi="Trebuchet MS"/>
          <w:b/>
          <w:bCs/>
          <w:color w:val="auto"/>
        </w:rPr>
        <w:t>Financial Calendar of Activities</w:t>
      </w:r>
    </w:p>
    <w:p w14:paraId="796B5771" w14:textId="09D7ACC4" w:rsidR="000444F5" w:rsidRPr="007E401D" w:rsidRDefault="000444F5" w:rsidP="00780612">
      <w:pPr>
        <w:rPr>
          <w:rFonts w:ascii="Trebuchet MS" w:hAnsi="Trebuchet MS"/>
          <w:color w:val="auto"/>
        </w:rPr>
      </w:pPr>
      <w:r w:rsidRPr="007E401D">
        <w:rPr>
          <w:rFonts w:ascii="Trebuchet MS" w:hAnsi="Trebuchet MS"/>
          <w:color w:val="auto"/>
        </w:rPr>
        <w:t xml:space="preserve">Include a summary of upcoming finance and operations activities </w:t>
      </w:r>
      <w:r w:rsidR="001A22A5">
        <w:rPr>
          <w:rFonts w:ascii="Trebuchet MS" w:hAnsi="Trebuchet MS"/>
          <w:color w:val="auto"/>
        </w:rPr>
        <w:t xml:space="preserve">of which </w:t>
      </w:r>
      <w:r w:rsidRPr="007E401D">
        <w:rPr>
          <w:rFonts w:ascii="Trebuchet MS" w:hAnsi="Trebuchet MS"/>
          <w:color w:val="auto"/>
        </w:rPr>
        <w:t>the Board should be made aware. Examples include:</w:t>
      </w:r>
    </w:p>
    <w:p w14:paraId="0E55546C" w14:textId="3C353FCA" w:rsidR="000444F5" w:rsidRPr="007E401D" w:rsidRDefault="000444F5" w:rsidP="000444F5">
      <w:pPr>
        <w:pStyle w:val="ListParagraph"/>
        <w:numPr>
          <w:ilvl w:val="0"/>
          <w:numId w:val="22"/>
        </w:numPr>
        <w:rPr>
          <w:color w:val="auto"/>
        </w:rPr>
      </w:pPr>
      <w:r w:rsidRPr="007E401D">
        <w:rPr>
          <w:color w:val="auto"/>
        </w:rPr>
        <w:t>Upcoming schedule for filing IRS Form 990 or completing the annual audit</w:t>
      </w:r>
    </w:p>
    <w:p w14:paraId="76325BCF" w14:textId="2C280FCA" w:rsidR="000444F5" w:rsidRPr="007E401D" w:rsidRDefault="000444F5" w:rsidP="000444F5">
      <w:pPr>
        <w:pStyle w:val="ListParagraph"/>
        <w:numPr>
          <w:ilvl w:val="0"/>
          <w:numId w:val="22"/>
        </w:numPr>
        <w:rPr>
          <w:color w:val="auto"/>
        </w:rPr>
      </w:pPr>
      <w:r w:rsidRPr="007E401D">
        <w:rPr>
          <w:color w:val="auto"/>
        </w:rPr>
        <w:t>Timing of annual review of fiscal policies and procedures</w:t>
      </w:r>
    </w:p>
    <w:p w14:paraId="49CCCA38" w14:textId="2EED3727" w:rsidR="001473E7" w:rsidRDefault="000444F5" w:rsidP="00E6794A">
      <w:pPr>
        <w:pStyle w:val="ListParagraph"/>
        <w:numPr>
          <w:ilvl w:val="0"/>
          <w:numId w:val="22"/>
        </w:numPr>
        <w:rPr>
          <w:color w:val="auto"/>
        </w:rPr>
      </w:pPr>
      <w:r w:rsidRPr="007E401D">
        <w:rPr>
          <w:color w:val="auto"/>
        </w:rPr>
        <w:t>Schedule of events for the next annual budget process</w:t>
      </w:r>
    </w:p>
    <w:p w14:paraId="6AFD20A3" w14:textId="77777777" w:rsidR="0002635E" w:rsidRDefault="0002635E" w:rsidP="0002635E">
      <w:pPr>
        <w:rPr>
          <w:color w:val="auto"/>
        </w:rPr>
      </w:pPr>
    </w:p>
    <w:p w14:paraId="69AC9579" w14:textId="77777777" w:rsidR="0002635E" w:rsidRDefault="0002635E" w:rsidP="0002635E">
      <w:pPr>
        <w:rPr>
          <w:color w:val="auto"/>
        </w:rPr>
      </w:pPr>
    </w:p>
    <w:p w14:paraId="22382A56" w14:textId="77777777" w:rsidR="0002635E" w:rsidRDefault="0002635E" w:rsidP="0002635E">
      <w:pPr>
        <w:rPr>
          <w:color w:val="auto"/>
        </w:rPr>
      </w:pPr>
    </w:p>
    <w:p w14:paraId="6C906878" w14:textId="77777777" w:rsidR="0002635E" w:rsidRDefault="0002635E" w:rsidP="0002635E">
      <w:pPr>
        <w:rPr>
          <w:color w:val="auto"/>
        </w:rPr>
      </w:pPr>
    </w:p>
    <w:p w14:paraId="7D09C69F" w14:textId="77777777" w:rsidR="0002635E" w:rsidRDefault="0002635E" w:rsidP="0002635E">
      <w:pPr>
        <w:rPr>
          <w:color w:val="auto"/>
        </w:rPr>
      </w:pPr>
    </w:p>
    <w:p w14:paraId="095519CC" w14:textId="77777777" w:rsidR="0002635E" w:rsidRDefault="0002635E" w:rsidP="0002635E">
      <w:pPr>
        <w:rPr>
          <w:color w:val="auto"/>
        </w:rPr>
      </w:pPr>
    </w:p>
    <w:p w14:paraId="3362098C" w14:textId="77777777" w:rsidR="0002635E" w:rsidRDefault="0002635E" w:rsidP="0002635E">
      <w:pPr>
        <w:rPr>
          <w:color w:val="auto"/>
        </w:rPr>
      </w:pPr>
    </w:p>
    <w:p w14:paraId="68519EAF" w14:textId="77777777" w:rsidR="0002635E" w:rsidRDefault="0002635E" w:rsidP="0002635E">
      <w:pPr>
        <w:rPr>
          <w:color w:val="auto"/>
        </w:rPr>
      </w:pPr>
    </w:p>
    <w:p w14:paraId="54F1FA1B" w14:textId="77777777" w:rsidR="0002635E" w:rsidRDefault="0002635E" w:rsidP="0002635E">
      <w:pPr>
        <w:rPr>
          <w:color w:val="auto"/>
        </w:rPr>
      </w:pPr>
    </w:p>
    <w:p w14:paraId="4F2F747A" w14:textId="77777777" w:rsidR="0002635E" w:rsidRDefault="0002635E" w:rsidP="0002635E">
      <w:pPr>
        <w:rPr>
          <w:color w:val="auto"/>
        </w:rPr>
      </w:pPr>
    </w:p>
    <w:p w14:paraId="56965615" w14:textId="77777777" w:rsidR="0002635E" w:rsidRDefault="0002635E" w:rsidP="0002635E">
      <w:pPr>
        <w:rPr>
          <w:color w:val="auto"/>
        </w:rPr>
      </w:pPr>
    </w:p>
    <w:p w14:paraId="41CA6C2D" w14:textId="3C867668" w:rsidR="0002635E" w:rsidRPr="0002635E" w:rsidRDefault="0002635E" w:rsidP="0002635E">
      <w:pPr>
        <w:rPr>
          <w:rFonts w:asciiTheme="majorHAnsi" w:eastAsiaTheme="minorEastAsia" w:hAnsiTheme="majorHAnsi"/>
          <w:i/>
          <w:iCs/>
          <w:color w:val="auto"/>
        </w:rPr>
      </w:pPr>
      <w:r w:rsidRPr="0002635E">
        <w:rPr>
          <w:rFonts w:asciiTheme="majorHAnsi" w:eastAsiaTheme="minorEastAsia" w:hAnsiTheme="majorHAnsi"/>
          <w:i/>
          <w:iCs/>
          <w:color w:val="auto"/>
        </w:rPr>
        <w:t>BDO USA, P.C.</w:t>
      </w:r>
      <w:r w:rsidR="00092D2E" w:rsidRPr="0002635E">
        <w:rPr>
          <w:rFonts w:asciiTheme="majorHAnsi" w:eastAsiaTheme="minorEastAsia" w:hAnsiTheme="majorHAnsi"/>
          <w:i/>
          <w:iCs/>
          <w:color w:val="auto"/>
        </w:rPr>
        <w:t>, is</w:t>
      </w:r>
      <w:r w:rsidRPr="0002635E">
        <w:rPr>
          <w:rFonts w:asciiTheme="majorHAnsi" w:eastAsiaTheme="minorEastAsia" w:hAnsiTheme="majorHAnsi"/>
          <w:i/>
          <w:iCs/>
          <w:color w:val="auto"/>
        </w:rPr>
        <w:t xml:space="preserve"> not a law firm and does not engage in the practice of law.  Information provided in this tool is meant to be general in nature and should not be acted on without professional advice tailored to your organization’s needs.  Please confer with legal counsel and/or other applicable professionals that you deem appropriate before taking or refraining from taking any action based upon any information provided while using this tool.</w:t>
      </w:r>
    </w:p>
    <w:p w14:paraId="4462A70C" w14:textId="77777777" w:rsidR="0002635E" w:rsidRPr="0002635E" w:rsidRDefault="0002635E" w:rsidP="0002635E">
      <w:pPr>
        <w:rPr>
          <w:color w:val="auto"/>
        </w:rPr>
      </w:pPr>
    </w:p>
    <w:sectPr w:rsidR="0002635E" w:rsidRPr="0002635E" w:rsidSect="00DA022F">
      <w:headerReference w:type="default" r:id="rId11"/>
      <w:footerReference w:type="default" r:id="rId12"/>
      <w:pgSz w:w="12240" w:h="15840"/>
      <w:pgMar w:top="1080" w:right="1080" w:bottom="1080" w:left="1080" w:header="706"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920D1" w14:textId="77777777" w:rsidR="00CD6A20" w:rsidRDefault="00CD6A20" w:rsidP="00280FA0">
      <w:pPr>
        <w:spacing w:after="0"/>
      </w:pPr>
      <w:r>
        <w:separator/>
      </w:r>
    </w:p>
  </w:endnote>
  <w:endnote w:type="continuationSeparator" w:id="0">
    <w:p w14:paraId="3DB34E75" w14:textId="77777777" w:rsidR="00CD6A20" w:rsidRDefault="00CD6A20" w:rsidP="00280FA0">
      <w:pPr>
        <w:spacing w:after="0"/>
      </w:pPr>
      <w:r>
        <w:continuationSeparator/>
      </w:r>
    </w:p>
  </w:endnote>
  <w:endnote w:type="continuationNotice" w:id="1">
    <w:p w14:paraId="7B6A0102" w14:textId="77777777" w:rsidR="00CD6A20" w:rsidRDefault="00CD6A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altName w:val="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CBBD" w14:textId="2BC32B4D" w:rsidR="0065687A" w:rsidRDefault="0065687A" w:rsidP="0065687A">
    <w:pPr>
      <w:pStyle w:val="Footer"/>
      <w:jc w:val="center"/>
    </w:pPr>
    <w:r w:rsidRPr="006C1F07">
      <w:rPr>
        <w:b/>
        <w:bCs/>
      </w:rPr>
      <w:t xml:space="preserve">© </w:t>
    </w:r>
    <w:r>
      <w:rPr>
        <w:b/>
        <w:bCs/>
      </w:rPr>
      <w:t>BDO USA, P.C. 2026</w:t>
    </w:r>
    <w:r w:rsidRPr="006C1F07">
      <w:rPr>
        <w:b/>
        <w:bCs/>
      </w:rPr>
      <w:t>. All rights reserved.</w:t>
    </w:r>
  </w:p>
  <w:p w14:paraId="48C1541E" w14:textId="77777777" w:rsidR="00DA022F" w:rsidRDefault="00DA0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2499D" w14:textId="77777777" w:rsidR="00CD6A20" w:rsidRDefault="00CD6A20" w:rsidP="00280FA0">
      <w:pPr>
        <w:spacing w:after="0"/>
      </w:pPr>
      <w:r>
        <w:separator/>
      </w:r>
    </w:p>
  </w:footnote>
  <w:footnote w:type="continuationSeparator" w:id="0">
    <w:p w14:paraId="4470317A" w14:textId="77777777" w:rsidR="00CD6A20" w:rsidRDefault="00CD6A20" w:rsidP="00280FA0">
      <w:pPr>
        <w:spacing w:after="0"/>
      </w:pPr>
      <w:r>
        <w:continuationSeparator/>
      </w:r>
    </w:p>
  </w:footnote>
  <w:footnote w:type="continuationNotice" w:id="1">
    <w:p w14:paraId="33C5E8AA" w14:textId="77777777" w:rsidR="00CD6A20" w:rsidRDefault="00CD6A20">
      <w:pPr>
        <w:spacing w:after="0"/>
      </w:pPr>
    </w:p>
  </w:footnote>
  <w:footnote w:id="2">
    <w:p w14:paraId="77DE340B" w14:textId="7CBCD104" w:rsidR="00EA1D22" w:rsidRDefault="00EA1D22">
      <w:pPr>
        <w:pStyle w:val="FootnoteText"/>
      </w:pPr>
      <w:r>
        <w:rPr>
          <w:rStyle w:val="FootnoteReference"/>
        </w:rPr>
        <w:footnoteRef/>
      </w:r>
      <w:r>
        <w:t xml:space="preserve"> In this document, the term “Unrestricted Net Assets” is being used in lieu of “Net Assets Without Donor Restriction”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bottom w:val="single" w:sz="6" w:space="0" w:color="E7E7E7" w:themeColor="text1"/>
        <w:insideH w:val="single" w:sz="4" w:space="0" w:color="auto"/>
      </w:tblBorders>
      <w:tblCellMar>
        <w:left w:w="0" w:type="dxa"/>
        <w:bottom w:w="57" w:type="dxa"/>
        <w:right w:w="0" w:type="dxa"/>
      </w:tblCellMar>
      <w:tblLook w:val="04A0" w:firstRow="1" w:lastRow="0" w:firstColumn="1" w:lastColumn="0" w:noHBand="0" w:noVBand="1"/>
    </w:tblPr>
    <w:tblGrid>
      <w:gridCol w:w="6624"/>
      <w:gridCol w:w="2736"/>
    </w:tblGrid>
    <w:tr w:rsidR="006254AE" w:rsidRPr="00216E16" w14:paraId="1C17036D" w14:textId="77777777" w:rsidTr="00DE0ABF">
      <w:trPr>
        <w:trHeight w:val="195"/>
      </w:trPr>
      <w:tc>
        <w:tcPr>
          <w:tcW w:w="6624" w:type="dxa"/>
          <w:tcBorders>
            <w:bottom w:val="single" w:sz="4" w:space="0" w:color="000000"/>
          </w:tcBorders>
        </w:tcPr>
        <w:p w14:paraId="1214E593" w14:textId="2D3ED917" w:rsidR="006254AE" w:rsidRPr="00216E16" w:rsidRDefault="006254AE" w:rsidP="00DD4286">
          <w:pPr>
            <w:pStyle w:val="Header"/>
            <w:rPr>
              <w:sz w:val="14"/>
              <w:szCs w:val="14"/>
            </w:rPr>
          </w:pPr>
        </w:p>
      </w:tc>
      <w:tc>
        <w:tcPr>
          <w:tcW w:w="2736" w:type="dxa"/>
          <w:tcBorders>
            <w:bottom w:val="single" w:sz="4" w:space="0" w:color="000000"/>
          </w:tcBorders>
        </w:tcPr>
        <w:p w14:paraId="46B8014F" w14:textId="3E097641" w:rsidR="006254AE" w:rsidRPr="00216E16" w:rsidRDefault="006254AE" w:rsidP="00DD4286">
          <w:pPr>
            <w:pStyle w:val="Header"/>
            <w:ind w:left="284"/>
            <w:jc w:val="right"/>
            <w:rPr>
              <w:sz w:val="14"/>
              <w:szCs w:val="14"/>
            </w:rPr>
          </w:pPr>
        </w:p>
      </w:tc>
    </w:tr>
  </w:tbl>
  <w:p w14:paraId="39EB2A44" w14:textId="5F1B0E50" w:rsidR="006254AE" w:rsidRDefault="001473E7" w:rsidP="00DD4286">
    <w:r w:rsidRPr="00766D73">
      <w:rPr>
        <w:b/>
        <w:bCs/>
        <w:smallCaps/>
        <w:noProof/>
        <w:color w:val="02A5E2" w:themeColor="accent2"/>
        <w:sz w:val="36"/>
        <w:szCs w:val="36"/>
      </w:rPr>
      <w:drawing>
        <wp:anchor distT="0" distB="0" distL="114300" distR="114300" simplePos="0" relativeHeight="251659264" behindDoc="1" locked="0" layoutInCell="1" allowOverlap="1" wp14:anchorId="7E02CB4F" wp14:editId="45687D22">
          <wp:simplePos x="0" y="0"/>
          <wp:positionH relativeFrom="margin">
            <wp:posOffset>-8507</wp:posOffset>
          </wp:positionH>
          <wp:positionV relativeFrom="paragraph">
            <wp:posOffset>-238125</wp:posOffset>
          </wp:positionV>
          <wp:extent cx="1035050" cy="367665"/>
          <wp:effectExtent l="0" t="0" r="0" b="0"/>
          <wp:wrapTight wrapText="bothSides">
            <wp:wrapPolygon edited="0">
              <wp:start x="0" y="0"/>
              <wp:lineTo x="0" y="20145"/>
              <wp:lineTo x="20275" y="20145"/>
              <wp:lineTo x="20672" y="14549"/>
              <wp:lineTo x="19480" y="2238"/>
              <wp:lineTo x="18685" y="0"/>
              <wp:lineTo x="0" y="0"/>
            </wp:wrapPolygon>
          </wp:wrapTight>
          <wp:docPr id="6" name="Picture 5">
            <a:extLst xmlns:a="http://schemas.openxmlformats.org/drawingml/2006/main">
              <a:ext uri="{FF2B5EF4-FFF2-40B4-BE49-F238E27FC236}">
                <a16:creationId xmlns:a16="http://schemas.microsoft.com/office/drawing/2014/main" id="{98BF1176-40C0-4BD5-92BF-9BA598F947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8BF1176-40C0-4BD5-92BF-9BA598F9472E}"/>
                      </a:ext>
                    </a:extLst>
                  </pic:cNvPr>
                  <pic:cNvPicPr>
                    <a:picLocks noChangeAspect="1"/>
                  </pic:cNvPicPr>
                </pic:nvPicPr>
                <pic:blipFill rotWithShape="1">
                  <a:blip r:embed="rId1">
                    <a:extLst>
                      <a:ext uri="{28A0092B-C50C-407E-A947-70E740481C1C}">
                        <a14:useLocalDpi xmlns:a14="http://schemas.microsoft.com/office/drawing/2010/main" val="0"/>
                      </a:ext>
                    </a:extLst>
                  </a:blip>
                  <a:srcRect r="49686"/>
                  <a:stretch/>
                </pic:blipFill>
                <pic:spPr bwMode="auto">
                  <a:xfrm>
                    <a:off x="0" y="0"/>
                    <a:ext cx="1035050" cy="367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402C"/>
    <w:multiLevelType w:val="hybridMultilevel"/>
    <w:tmpl w:val="481A67A4"/>
    <w:lvl w:ilvl="0" w:tplc="DAD0082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E3F8E"/>
    <w:multiLevelType w:val="hybridMultilevel"/>
    <w:tmpl w:val="95067F2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7D73E2"/>
    <w:multiLevelType w:val="hybridMultilevel"/>
    <w:tmpl w:val="EC38A5F6"/>
    <w:lvl w:ilvl="0" w:tplc="DAD00826">
      <w:start w:val="1"/>
      <w:numFmt w:val="bullet"/>
      <w:lvlText w:val="u"/>
      <w:lvlJc w:val="left"/>
      <w:pPr>
        <w:ind w:left="720" w:hanging="360"/>
      </w:pPr>
      <w:rPr>
        <w:rFonts w:ascii="Wingdings 3" w:hAnsi="Wingdings 3" w:hint="default"/>
        <w:b w:val="0"/>
        <w:i w:val="0"/>
        <w:color w:val="ED1A3B" w:themeColor="accent1"/>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71DF2"/>
    <w:multiLevelType w:val="hybridMultilevel"/>
    <w:tmpl w:val="9B7A4106"/>
    <w:lvl w:ilvl="0" w:tplc="DAD0082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342190"/>
    <w:multiLevelType w:val="hybridMultilevel"/>
    <w:tmpl w:val="54D60A5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B6535E1"/>
    <w:multiLevelType w:val="hybridMultilevel"/>
    <w:tmpl w:val="AF14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644B1"/>
    <w:multiLevelType w:val="hybridMultilevel"/>
    <w:tmpl w:val="E2B4B188"/>
    <w:lvl w:ilvl="0" w:tplc="5E5425D8">
      <w:start w:val="1"/>
      <w:numFmt w:val="bullet"/>
      <w:lvlText w:val=""/>
      <w:lvlJc w:val="left"/>
      <w:pPr>
        <w:tabs>
          <w:tab w:val="num" w:pos="720"/>
        </w:tabs>
        <w:ind w:left="720" w:hanging="360"/>
      </w:pPr>
      <w:rPr>
        <w:rFonts w:ascii="Wingdings 3" w:hAnsi="Wingdings 3" w:hint="default"/>
      </w:rPr>
    </w:lvl>
    <w:lvl w:ilvl="1" w:tplc="5378AFB2">
      <w:start w:val="1"/>
      <w:numFmt w:val="bullet"/>
      <w:lvlText w:val=""/>
      <w:lvlJc w:val="left"/>
      <w:pPr>
        <w:tabs>
          <w:tab w:val="num" w:pos="1440"/>
        </w:tabs>
        <w:ind w:left="1440" w:hanging="360"/>
      </w:pPr>
      <w:rPr>
        <w:rFonts w:ascii="Wingdings 3" w:hAnsi="Wingdings 3" w:hint="default"/>
      </w:rPr>
    </w:lvl>
    <w:lvl w:ilvl="2" w:tplc="E952A7A6" w:tentative="1">
      <w:start w:val="1"/>
      <w:numFmt w:val="bullet"/>
      <w:lvlText w:val=""/>
      <w:lvlJc w:val="left"/>
      <w:pPr>
        <w:tabs>
          <w:tab w:val="num" w:pos="2160"/>
        </w:tabs>
        <w:ind w:left="2160" w:hanging="360"/>
      </w:pPr>
      <w:rPr>
        <w:rFonts w:ascii="Wingdings 3" w:hAnsi="Wingdings 3" w:hint="default"/>
      </w:rPr>
    </w:lvl>
    <w:lvl w:ilvl="3" w:tplc="0C2E7C64" w:tentative="1">
      <w:start w:val="1"/>
      <w:numFmt w:val="bullet"/>
      <w:lvlText w:val=""/>
      <w:lvlJc w:val="left"/>
      <w:pPr>
        <w:tabs>
          <w:tab w:val="num" w:pos="2880"/>
        </w:tabs>
        <w:ind w:left="2880" w:hanging="360"/>
      </w:pPr>
      <w:rPr>
        <w:rFonts w:ascii="Wingdings 3" w:hAnsi="Wingdings 3" w:hint="default"/>
      </w:rPr>
    </w:lvl>
    <w:lvl w:ilvl="4" w:tplc="8A14B188" w:tentative="1">
      <w:start w:val="1"/>
      <w:numFmt w:val="bullet"/>
      <w:lvlText w:val=""/>
      <w:lvlJc w:val="left"/>
      <w:pPr>
        <w:tabs>
          <w:tab w:val="num" w:pos="3600"/>
        </w:tabs>
        <w:ind w:left="3600" w:hanging="360"/>
      </w:pPr>
      <w:rPr>
        <w:rFonts w:ascii="Wingdings 3" w:hAnsi="Wingdings 3" w:hint="default"/>
      </w:rPr>
    </w:lvl>
    <w:lvl w:ilvl="5" w:tplc="5942A0E8" w:tentative="1">
      <w:start w:val="1"/>
      <w:numFmt w:val="bullet"/>
      <w:lvlText w:val=""/>
      <w:lvlJc w:val="left"/>
      <w:pPr>
        <w:tabs>
          <w:tab w:val="num" w:pos="4320"/>
        </w:tabs>
        <w:ind w:left="4320" w:hanging="360"/>
      </w:pPr>
      <w:rPr>
        <w:rFonts w:ascii="Wingdings 3" w:hAnsi="Wingdings 3" w:hint="default"/>
      </w:rPr>
    </w:lvl>
    <w:lvl w:ilvl="6" w:tplc="517459B2" w:tentative="1">
      <w:start w:val="1"/>
      <w:numFmt w:val="bullet"/>
      <w:lvlText w:val=""/>
      <w:lvlJc w:val="left"/>
      <w:pPr>
        <w:tabs>
          <w:tab w:val="num" w:pos="5040"/>
        </w:tabs>
        <w:ind w:left="5040" w:hanging="360"/>
      </w:pPr>
      <w:rPr>
        <w:rFonts w:ascii="Wingdings 3" w:hAnsi="Wingdings 3" w:hint="default"/>
      </w:rPr>
    </w:lvl>
    <w:lvl w:ilvl="7" w:tplc="5824CCB8" w:tentative="1">
      <w:start w:val="1"/>
      <w:numFmt w:val="bullet"/>
      <w:lvlText w:val=""/>
      <w:lvlJc w:val="left"/>
      <w:pPr>
        <w:tabs>
          <w:tab w:val="num" w:pos="5760"/>
        </w:tabs>
        <w:ind w:left="5760" w:hanging="360"/>
      </w:pPr>
      <w:rPr>
        <w:rFonts w:ascii="Wingdings 3" w:hAnsi="Wingdings 3" w:hint="default"/>
      </w:rPr>
    </w:lvl>
    <w:lvl w:ilvl="8" w:tplc="6E8ECEB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D4F2020"/>
    <w:multiLevelType w:val="hybridMultilevel"/>
    <w:tmpl w:val="97C62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B24DA"/>
    <w:multiLevelType w:val="hybridMultilevel"/>
    <w:tmpl w:val="DE92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804192"/>
    <w:multiLevelType w:val="hybridMultilevel"/>
    <w:tmpl w:val="4434E02A"/>
    <w:lvl w:ilvl="0" w:tplc="789EBE3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EB617B"/>
    <w:multiLevelType w:val="hybridMultilevel"/>
    <w:tmpl w:val="63623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E27AF8"/>
    <w:multiLevelType w:val="hybridMultilevel"/>
    <w:tmpl w:val="79180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B6713D"/>
    <w:multiLevelType w:val="hybridMultilevel"/>
    <w:tmpl w:val="E4C61672"/>
    <w:lvl w:ilvl="0" w:tplc="6A9A346C">
      <w:start w:val="1"/>
      <w:numFmt w:val="bullet"/>
      <w:lvlText w:val=""/>
      <w:lvlJc w:val="left"/>
      <w:pPr>
        <w:ind w:left="1287" w:hanging="360"/>
      </w:pPr>
      <w:rPr>
        <w:rFonts w:ascii="Symbol" w:hAnsi="Symbol" w:hint="default"/>
        <w:color w:val="404040" w:themeColor="text2"/>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5B34B58"/>
    <w:multiLevelType w:val="hybridMultilevel"/>
    <w:tmpl w:val="4AB456AA"/>
    <w:lvl w:ilvl="0" w:tplc="B85E6AE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891DC0"/>
    <w:multiLevelType w:val="hybridMultilevel"/>
    <w:tmpl w:val="31F4C666"/>
    <w:lvl w:ilvl="0" w:tplc="B85E6AE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408A2"/>
    <w:multiLevelType w:val="multilevel"/>
    <w:tmpl w:val="D8B054C8"/>
    <w:lvl w:ilvl="0">
      <w:start w:val="1"/>
      <w:numFmt w:val="decimal"/>
      <w:lvlText w:val="%1."/>
      <w:lvlJc w:val="left"/>
      <w:pPr>
        <w:ind w:left="0" w:firstLine="0"/>
      </w:pPr>
      <w:rPr>
        <w:rFonts w:hint="default"/>
      </w:rPr>
    </w:lvl>
    <w:lvl w:ilvl="1">
      <w:start w:val="1"/>
      <w:numFmt w:val="none"/>
      <w:lvlText w:val=""/>
      <w:lvlJc w:val="left"/>
      <w:pPr>
        <w:ind w:left="10037" w:hanging="397"/>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3."/>
      <w:lvlJc w:val="left"/>
      <w:pPr>
        <w:ind w:left="1080" w:hanging="360"/>
      </w:pPr>
      <w:rPr>
        <w:rFonts w:hint="default"/>
      </w:rPr>
    </w:lvl>
    <w:lvl w:ilvl="3">
      <w:start w:val="1"/>
      <w:numFmt w:val="decimal"/>
      <w:lvlText w:val="%1.%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137B29"/>
    <w:multiLevelType w:val="hybridMultilevel"/>
    <w:tmpl w:val="97540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65F5C48"/>
    <w:multiLevelType w:val="hybridMultilevel"/>
    <w:tmpl w:val="F9E09CDE"/>
    <w:lvl w:ilvl="0" w:tplc="5E5425D8">
      <w:start w:val="1"/>
      <w:numFmt w:val="bullet"/>
      <w:lvlText w:val=""/>
      <w:lvlJc w:val="left"/>
      <w:pPr>
        <w:tabs>
          <w:tab w:val="num" w:pos="360"/>
        </w:tabs>
        <w:ind w:left="360" w:hanging="360"/>
      </w:pPr>
      <w:rPr>
        <w:rFonts w:ascii="Wingdings 3" w:hAnsi="Wingdings 3" w:hint="default"/>
      </w:rPr>
    </w:lvl>
    <w:lvl w:ilvl="1" w:tplc="B85E6AE6">
      <w:start w:val="1"/>
      <w:numFmt w:val="bullet"/>
      <w:lvlText w:val="u"/>
      <w:lvlJc w:val="left"/>
      <w:pPr>
        <w:tabs>
          <w:tab w:val="num" w:pos="1080"/>
        </w:tabs>
        <w:ind w:left="1080" w:hanging="360"/>
      </w:pPr>
      <w:rPr>
        <w:rFonts w:ascii="Wingdings 3" w:hAnsi="Wingdings 3" w:hint="default"/>
        <w:b w:val="0"/>
        <w:i w:val="0"/>
        <w:color w:val="ED1A3B" w:themeColor="accent1"/>
        <w:sz w:val="16"/>
      </w:rPr>
    </w:lvl>
    <w:lvl w:ilvl="2" w:tplc="E952A7A6" w:tentative="1">
      <w:start w:val="1"/>
      <w:numFmt w:val="bullet"/>
      <w:lvlText w:val=""/>
      <w:lvlJc w:val="left"/>
      <w:pPr>
        <w:tabs>
          <w:tab w:val="num" w:pos="1800"/>
        </w:tabs>
        <w:ind w:left="1800" w:hanging="360"/>
      </w:pPr>
      <w:rPr>
        <w:rFonts w:ascii="Wingdings 3" w:hAnsi="Wingdings 3" w:hint="default"/>
      </w:rPr>
    </w:lvl>
    <w:lvl w:ilvl="3" w:tplc="0C2E7C64" w:tentative="1">
      <w:start w:val="1"/>
      <w:numFmt w:val="bullet"/>
      <w:lvlText w:val=""/>
      <w:lvlJc w:val="left"/>
      <w:pPr>
        <w:tabs>
          <w:tab w:val="num" w:pos="2520"/>
        </w:tabs>
        <w:ind w:left="2520" w:hanging="360"/>
      </w:pPr>
      <w:rPr>
        <w:rFonts w:ascii="Wingdings 3" w:hAnsi="Wingdings 3" w:hint="default"/>
      </w:rPr>
    </w:lvl>
    <w:lvl w:ilvl="4" w:tplc="8A14B188" w:tentative="1">
      <w:start w:val="1"/>
      <w:numFmt w:val="bullet"/>
      <w:lvlText w:val=""/>
      <w:lvlJc w:val="left"/>
      <w:pPr>
        <w:tabs>
          <w:tab w:val="num" w:pos="3240"/>
        </w:tabs>
        <w:ind w:left="3240" w:hanging="360"/>
      </w:pPr>
      <w:rPr>
        <w:rFonts w:ascii="Wingdings 3" w:hAnsi="Wingdings 3" w:hint="default"/>
      </w:rPr>
    </w:lvl>
    <w:lvl w:ilvl="5" w:tplc="5942A0E8" w:tentative="1">
      <w:start w:val="1"/>
      <w:numFmt w:val="bullet"/>
      <w:lvlText w:val=""/>
      <w:lvlJc w:val="left"/>
      <w:pPr>
        <w:tabs>
          <w:tab w:val="num" w:pos="3960"/>
        </w:tabs>
        <w:ind w:left="3960" w:hanging="360"/>
      </w:pPr>
      <w:rPr>
        <w:rFonts w:ascii="Wingdings 3" w:hAnsi="Wingdings 3" w:hint="default"/>
      </w:rPr>
    </w:lvl>
    <w:lvl w:ilvl="6" w:tplc="517459B2" w:tentative="1">
      <w:start w:val="1"/>
      <w:numFmt w:val="bullet"/>
      <w:lvlText w:val=""/>
      <w:lvlJc w:val="left"/>
      <w:pPr>
        <w:tabs>
          <w:tab w:val="num" w:pos="4680"/>
        </w:tabs>
        <w:ind w:left="4680" w:hanging="360"/>
      </w:pPr>
      <w:rPr>
        <w:rFonts w:ascii="Wingdings 3" w:hAnsi="Wingdings 3" w:hint="default"/>
      </w:rPr>
    </w:lvl>
    <w:lvl w:ilvl="7" w:tplc="5824CCB8" w:tentative="1">
      <w:start w:val="1"/>
      <w:numFmt w:val="bullet"/>
      <w:lvlText w:val=""/>
      <w:lvlJc w:val="left"/>
      <w:pPr>
        <w:tabs>
          <w:tab w:val="num" w:pos="5400"/>
        </w:tabs>
        <w:ind w:left="5400" w:hanging="360"/>
      </w:pPr>
      <w:rPr>
        <w:rFonts w:ascii="Wingdings 3" w:hAnsi="Wingdings 3" w:hint="default"/>
      </w:rPr>
    </w:lvl>
    <w:lvl w:ilvl="8" w:tplc="6E8ECEB8" w:tentative="1">
      <w:start w:val="1"/>
      <w:numFmt w:val="bullet"/>
      <w:lvlText w:val=""/>
      <w:lvlJc w:val="left"/>
      <w:pPr>
        <w:tabs>
          <w:tab w:val="num" w:pos="6120"/>
        </w:tabs>
        <w:ind w:left="6120" w:hanging="360"/>
      </w:pPr>
      <w:rPr>
        <w:rFonts w:ascii="Wingdings 3" w:hAnsi="Wingdings 3" w:hint="default"/>
      </w:rPr>
    </w:lvl>
  </w:abstractNum>
  <w:abstractNum w:abstractNumId="18" w15:restartNumberingAfterBreak="0">
    <w:nsid w:val="48373527"/>
    <w:multiLevelType w:val="hybridMultilevel"/>
    <w:tmpl w:val="A928E29E"/>
    <w:lvl w:ilvl="0" w:tplc="B85E6AE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DA0850"/>
    <w:multiLevelType w:val="hybridMultilevel"/>
    <w:tmpl w:val="8B0482C8"/>
    <w:lvl w:ilvl="0" w:tplc="DAD00826">
      <w:start w:val="1"/>
      <w:numFmt w:val="bullet"/>
      <w:lvlText w:val="u"/>
      <w:lvlJc w:val="left"/>
      <w:pPr>
        <w:ind w:left="1440" w:hanging="360"/>
      </w:pPr>
      <w:rPr>
        <w:rFonts w:ascii="Wingdings 3" w:hAnsi="Wingdings 3" w:hint="default"/>
        <w:b w:val="0"/>
        <w:i w:val="0"/>
        <w:color w:val="ED1A3B" w:themeColor="accent1"/>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F007CD7"/>
    <w:multiLevelType w:val="hybridMultilevel"/>
    <w:tmpl w:val="F4C009C8"/>
    <w:lvl w:ilvl="0" w:tplc="50C030D6">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95243D"/>
    <w:multiLevelType w:val="hybridMultilevel"/>
    <w:tmpl w:val="CAC0D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C052E8"/>
    <w:multiLevelType w:val="hybridMultilevel"/>
    <w:tmpl w:val="E326ED54"/>
    <w:lvl w:ilvl="0" w:tplc="B60EB584">
      <w:start w:val="1"/>
      <w:numFmt w:val="bullet"/>
      <w:lvlText w:val=""/>
      <w:lvlJc w:val="left"/>
      <w:pPr>
        <w:ind w:left="1287" w:hanging="360"/>
      </w:pPr>
      <w:rPr>
        <w:rFonts w:ascii="Symbol" w:hAnsi="Symbol" w:hint="default"/>
        <w:color w:val="404040" w:themeColor="text2"/>
      </w:rPr>
    </w:lvl>
    <w:lvl w:ilvl="1" w:tplc="6C4034AA">
      <w:start w:val="1"/>
      <w:numFmt w:val="bullet"/>
      <w:pStyle w:val="Bullet2"/>
      <w:lvlText w:val=""/>
      <w:lvlJc w:val="left"/>
      <w:pPr>
        <w:ind w:left="2007" w:hanging="360"/>
      </w:pPr>
      <w:rPr>
        <w:rFonts w:ascii="Symbol" w:hAnsi="Symbol" w:hint="default"/>
        <w:color w:val="404040" w:themeColor="text2"/>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64E03B27"/>
    <w:multiLevelType w:val="hybridMultilevel"/>
    <w:tmpl w:val="7C6CA3B4"/>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658905D7"/>
    <w:multiLevelType w:val="hybridMultilevel"/>
    <w:tmpl w:val="645CB150"/>
    <w:lvl w:ilvl="0" w:tplc="B60EB584">
      <w:start w:val="1"/>
      <w:numFmt w:val="bullet"/>
      <w:lvlText w:val=""/>
      <w:lvlJc w:val="left"/>
      <w:pPr>
        <w:ind w:left="1287" w:hanging="360"/>
      </w:pPr>
      <w:rPr>
        <w:rFonts w:ascii="Symbol" w:hAnsi="Symbol" w:hint="default"/>
        <w:color w:val="404040" w:themeColor="text2"/>
      </w:rPr>
    </w:lvl>
    <w:lvl w:ilvl="1" w:tplc="D4E6F562">
      <w:start w:val="1"/>
      <w:numFmt w:val="bullet"/>
      <w:lvlText w:val="—"/>
      <w:lvlJc w:val="left"/>
      <w:pPr>
        <w:ind w:left="2007" w:hanging="360"/>
      </w:pPr>
      <w:rPr>
        <w:rFonts w:ascii="Trebuchet MS" w:hAnsi="Trebuchet MS" w:hint="default"/>
        <w:color w:val="404040" w:themeColor="text2"/>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66CF6EFC"/>
    <w:multiLevelType w:val="hybridMultilevel"/>
    <w:tmpl w:val="0040FA3C"/>
    <w:lvl w:ilvl="0" w:tplc="B85E6AE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96240F"/>
    <w:multiLevelType w:val="hybridMultilevel"/>
    <w:tmpl w:val="3D5AF5FC"/>
    <w:lvl w:ilvl="0" w:tplc="B85E6AE6">
      <w:start w:val="1"/>
      <w:numFmt w:val="bullet"/>
      <w:lvlText w:val="u"/>
      <w:lvlJc w:val="left"/>
      <w:pPr>
        <w:ind w:left="720" w:hanging="360"/>
      </w:pPr>
      <w:rPr>
        <w:rFonts w:ascii="Wingdings 3" w:hAnsi="Wingdings 3" w:hint="default"/>
        <w:b w:val="0"/>
        <w:i w:val="0"/>
        <w:color w:val="ED1A3B" w:themeColor="accent1"/>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9E77B1"/>
    <w:multiLevelType w:val="hybridMultilevel"/>
    <w:tmpl w:val="54B07E5C"/>
    <w:lvl w:ilvl="0" w:tplc="1688E4E0">
      <w:start w:val="1"/>
      <w:numFmt w:val="bullet"/>
      <w:pStyle w:val="Bullet1"/>
      <w:lvlText w:val="u"/>
      <w:lvlJc w:val="left"/>
      <w:pPr>
        <w:ind w:left="1287" w:hanging="360"/>
      </w:pPr>
      <w:rPr>
        <w:rFonts w:ascii="Wingdings 3" w:hAnsi="Wingdings 3" w:hint="default"/>
        <w:color w:val="ED1A3B" w:themeColor="accent1"/>
        <w:sz w:val="16"/>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7D625C75"/>
    <w:multiLevelType w:val="hybridMultilevel"/>
    <w:tmpl w:val="6B4E30FE"/>
    <w:lvl w:ilvl="0" w:tplc="B85E6AE6">
      <w:start w:val="1"/>
      <w:numFmt w:val="bullet"/>
      <w:lvlText w:val="u"/>
      <w:lvlJc w:val="left"/>
      <w:pPr>
        <w:tabs>
          <w:tab w:val="num" w:pos="720"/>
        </w:tabs>
        <w:ind w:left="720" w:hanging="360"/>
      </w:pPr>
      <w:rPr>
        <w:rFonts w:ascii="Wingdings 3" w:hAnsi="Wingdings 3" w:hint="default"/>
        <w:b w:val="0"/>
        <w:i w:val="0"/>
        <w:color w:val="ED1A3B" w:themeColor="accent1"/>
        <w:sz w:val="16"/>
      </w:rPr>
    </w:lvl>
    <w:lvl w:ilvl="1" w:tplc="B85E6AE6">
      <w:start w:val="1"/>
      <w:numFmt w:val="bullet"/>
      <w:lvlText w:val="u"/>
      <w:lvlJc w:val="left"/>
      <w:pPr>
        <w:tabs>
          <w:tab w:val="num" w:pos="1440"/>
        </w:tabs>
        <w:ind w:left="1440" w:hanging="360"/>
      </w:pPr>
      <w:rPr>
        <w:rFonts w:ascii="Wingdings 3" w:hAnsi="Wingdings 3" w:hint="default"/>
        <w:b w:val="0"/>
        <w:i w:val="0"/>
        <w:color w:val="ED1A3B" w:themeColor="accent1"/>
        <w:sz w:val="16"/>
      </w:rPr>
    </w:lvl>
    <w:lvl w:ilvl="2" w:tplc="E952A7A6" w:tentative="1">
      <w:start w:val="1"/>
      <w:numFmt w:val="bullet"/>
      <w:lvlText w:val=""/>
      <w:lvlJc w:val="left"/>
      <w:pPr>
        <w:tabs>
          <w:tab w:val="num" w:pos="2160"/>
        </w:tabs>
        <w:ind w:left="2160" w:hanging="360"/>
      </w:pPr>
      <w:rPr>
        <w:rFonts w:ascii="Wingdings 3" w:hAnsi="Wingdings 3" w:hint="default"/>
      </w:rPr>
    </w:lvl>
    <w:lvl w:ilvl="3" w:tplc="0C2E7C64" w:tentative="1">
      <w:start w:val="1"/>
      <w:numFmt w:val="bullet"/>
      <w:lvlText w:val=""/>
      <w:lvlJc w:val="left"/>
      <w:pPr>
        <w:tabs>
          <w:tab w:val="num" w:pos="2880"/>
        </w:tabs>
        <w:ind w:left="2880" w:hanging="360"/>
      </w:pPr>
      <w:rPr>
        <w:rFonts w:ascii="Wingdings 3" w:hAnsi="Wingdings 3" w:hint="default"/>
      </w:rPr>
    </w:lvl>
    <w:lvl w:ilvl="4" w:tplc="8A14B188" w:tentative="1">
      <w:start w:val="1"/>
      <w:numFmt w:val="bullet"/>
      <w:lvlText w:val=""/>
      <w:lvlJc w:val="left"/>
      <w:pPr>
        <w:tabs>
          <w:tab w:val="num" w:pos="3600"/>
        </w:tabs>
        <w:ind w:left="3600" w:hanging="360"/>
      </w:pPr>
      <w:rPr>
        <w:rFonts w:ascii="Wingdings 3" w:hAnsi="Wingdings 3" w:hint="default"/>
      </w:rPr>
    </w:lvl>
    <w:lvl w:ilvl="5" w:tplc="5942A0E8" w:tentative="1">
      <w:start w:val="1"/>
      <w:numFmt w:val="bullet"/>
      <w:lvlText w:val=""/>
      <w:lvlJc w:val="left"/>
      <w:pPr>
        <w:tabs>
          <w:tab w:val="num" w:pos="4320"/>
        </w:tabs>
        <w:ind w:left="4320" w:hanging="360"/>
      </w:pPr>
      <w:rPr>
        <w:rFonts w:ascii="Wingdings 3" w:hAnsi="Wingdings 3" w:hint="default"/>
      </w:rPr>
    </w:lvl>
    <w:lvl w:ilvl="6" w:tplc="517459B2" w:tentative="1">
      <w:start w:val="1"/>
      <w:numFmt w:val="bullet"/>
      <w:lvlText w:val=""/>
      <w:lvlJc w:val="left"/>
      <w:pPr>
        <w:tabs>
          <w:tab w:val="num" w:pos="5040"/>
        </w:tabs>
        <w:ind w:left="5040" w:hanging="360"/>
      </w:pPr>
      <w:rPr>
        <w:rFonts w:ascii="Wingdings 3" w:hAnsi="Wingdings 3" w:hint="default"/>
      </w:rPr>
    </w:lvl>
    <w:lvl w:ilvl="7" w:tplc="5824CCB8" w:tentative="1">
      <w:start w:val="1"/>
      <w:numFmt w:val="bullet"/>
      <w:lvlText w:val=""/>
      <w:lvlJc w:val="left"/>
      <w:pPr>
        <w:tabs>
          <w:tab w:val="num" w:pos="5760"/>
        </w:tabs>
        <w:ind w:left="5760" w:hanging="360"/>
      </w:pPr>
      <w:rPr>
        <w:rFonts w:ascii="Wingdings 3" w:hAnsi="Wingdings 3" w:hint="default"/>
      </w:rPr>
    </w:lvl>
    <w:lvl w:ilvl="8" w:tplc="6E8ECEB8" w:tentative="1">
      <w:start w:val="1"/>
      <w:numFmt w:val="bullet"/>
      <w:lvlText w:val=""/>
      <w:lvlJc w:val="left"/>
      <w:pPr>
        <w:tabs>
          <w:tab w:val="num" w:pos="6480"/>
        </w:tabs>
        <w:ind w:left="6480" w:hanging="360"/>
      </w:pPr>
      <w:rPr>
        <w:rFonts w:ascii="Wingdings 3" w:hAnsi="Wingdings 3" w:hint="default"/>
      </w:rPr>
    </w:lvl>
  </w:abstractNum>
  <w:num w:numId="1" w16cid:durableId="913854525">
    <w:abstractNumId w:val="19"/>
  </w:num>
  <w:num w:numId="2" w16cid:durableId="2025545925">
    <w:abstractNumId w:val="8"/>
  </w:num>
  <w:num w:numId="3" w16cid:durableId="498734752">
    <w:abstractNumId w:val="15"/>
  </w:num>
  <w:num w:numId="4" w16cid:durableId="1144154494">
    <w:abstractNumId w:val="12"/>
  </w:num>
  <w:num w:numId="5" w16cid:durableId="1604263317">
    <w:abstractNumId w:val="24"/>
  </w:num>
  <w:num w:numId="6" w16cid:durableId="1408460133">
    <w:abstractNumId w:val="27"/>
  </w:num>
  <w:num w:numId="7" w16cid:durableId="1833450640">
    <w:abstractNumId w:val="22"/>
  </w:num>
  <w:num w:numId="8" w16cid:durableId="1397898269">
    <w:abstractNumId w:val="13"/>
  </w:num>
  <w:num w:numId="9" w16cid:durableId="1368020784">
    <w:abstractNumId w:val="10"/>
  </w:num>
  <w:num w:numId="10" w16cid:durableId="774862729">
    <w:abstractNumId w:val="11"/>
  </w:num>
  <w:num w:numId="11" w16cid:durableId="1968654891">
    <w:abstractNumId w:val="21"/>
  </w:num>
  <w:num w:numId="12" w16cid:durableId="1761871184">
    <w:abstractNumId w:val="14"/>
  </w:num>
  <w:num w:numId="13" w16cid:durableId="1344933475">
    <w:abstractNumId w:val="6"/>
  </w:num>
  <w:num w:numId="14" w16cid:durableId="1368874495">
    <w:abstractNumId w:val="17"/>
  </w:num>
  <w:num w:numId="15" w16cid:durableId="316954467">
    <w:abstractNumId w:val="28"/>
  </w:num>
  <w:num w:numId="16" w16cid:durableId="1359811856">
    <w:abstractNumId w:val="18"/>
  </w:num>
  <w:num w:numId="17" w16cid:durableId="335618470">
    <w:abstractNumId w:val="25"/>
  </w:num>
  <w:num w:numId="18" w16cid:durableId="845560204">
    <w:abstractNumId w:val="26"/>
  </w:num>
  <w:num w:numId="19" w16cid:durableId="947085666">
    <w:abstractNumId w:val="7"/>
  </w:num>
  <w:num w:numId="20" w16cid:durableId="606156987">
    <w:abstractNumId w:val="3"/>
  </w:num>
  <w:num w:numId="21" w16cid:durableId="1451240349">
    <w:abstractNumId w:val="2"/>
  </w:num>
  <w:num w:numId="22" w16cid:durableId="1768112961">
    <w:abstractNumId w:val="0"/>
  </w:num>
  <w:num w:numId="23" w16cid:durableId="1533884884">
    <w:abstractNumId w:val="1"/>
  </w:num>
  <w:num w:numId="24" w16cid:durableId="1650094302">
    <w:abstractNumId w:val="5"/>
  </w:num>
  <w:num w:numId="25" w16cid:durableId="1169249823">
    <w:abstractNumId w:val="4"/>
  </w:num>
  <w:num w:numId="26" w16cid:durableId="2064479891">
    <w:abstractNumId w:val="23"/>
  </w:num>
  <w:num w:numId="27" w16cid:durableId="974678343">
    <w:abstractNumId w:val="20"/>
  </w:num>
  <w:num w:numId="28" w16cid:durableId="1879853108">
    <w:abstractNumId w:val="9"/>
  </w:num>
  <w:num w:numId="29" w16cid:durableId="13094324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78"/>
    <w:rsid w:val="00011954"/>
    <w:rsid w:val="0002635E"/>
    <w:rsid w:val="000444F5"/>
    <w:rsid w:val="00057C85"/>
    <w:rsid w:val="000675A4"/>
    <w:rsid w:val="000721B4"/>
    <w:rsid w:val="00087235"/>
    <w:rsid w:val="0009140D"/>
    <w:rsid w:val="00092D2E"/>
    <w:rsid w:val="000B3BC3"/>
    <w:rsid w:val="000B5A16"/>
    <w:rsid w:val="000B616D"/>
    <w:rsid w:val="000C2561"/>
    <w:rsid w:val="000E416D"/>
    <w:rsid w:val="000F71D5"/>
    <w:rsid w:val="000F7BD1"/>
    <w:rsid w:val="001179B1"/>
    <w:rsid w:val="0012212A"/>
    <w:rsid w:val="00144666"/>
    <w:rsid w:val="001471DF"/>
    <w:rsid w:val="001473E7"/>
    <w:rsid w:val="001602BD"/>
    <w:rsid w:val="0016562C"/>
    <w:rsid w:val="00181196"/>
    <w:rsid w:val="001A0213"/>
    <w:rsid w:val="001A22A5"/>
    <w:rsid w:val="001A5EA3"/>
    <w:rsid w:val="001B135C"/>
    <w:rsid w:val="001C1437"/>
    <w:rsid w:val="001C4021"/>
    <w:rsid w:val="001C70F0"/>
    <w:rsid w:val="001D08DB"/>
    <w:rsid w:val="001D6E23"/>
    <w:rsid w:val="001D70FA"/>
    <w:rsid w:val="001E5FEB"/>
    <w:rsid w:val="001E6BEA"/>
    <w:rsid w:val="001F3B96"/>
    <w:rsid w:val="001F4E12"/>
    <w:rsid w:val="00206F54"/>
    <w:rsid w:val="00214493"/>
    <w:rsid w:val="002348FC"/>
    <w:rsid w:val="002511D6"/>
    <w:rsid w:val="00251D50"/>
    <w:rsid w:val="0025203B"/>
    <w:rsid w:val="00263B15"/>
    <w:rsid w:val="0026533F"/>
    <w:rsid w:val="002716DD"/>
    <w:rsid w:val="00280FA0"/>
    <w:rsid w:val="00296513"/>
    <w:rsid w:val="002965AE"/>
    <w:rsid w:val="00297FD9"/>
    <w:rsid w:val="002A0025"/>
    <w:rsid w:val="002A6105"/>
    <w:rsid w:val="002B4AF0"/>
    <w:rsid w:val="002C1953"/>
    <w:rsid w:val="002C66B1"/>
    <w:rsid w:val="002E25A1"/>
    <w:rsid w:val="0030175C"/>
    <w:rsid w:val="00305D05"/>
    <w:rsid w:val="00307E12"/>
    <w:rsid w:val="00310A71"/>
    <w:rsid w:val="00314D9D"/>
    <w:rsid w:val="0032684C"/>
    <w:rsid w:val="00332566"/>
    <w:rsid w:val="003518D5"/>
    <w:rsid w:val="003567CA"/>
    <w:rsid w:val="00365C6F"/>
    <w:rsid w:val="00367E66"/>
    <w:rsid w:val="003A290E"/>
    <w:rsid w:val="003A4441"/>
    <w:rsid w:val="003A5A0E"/>
    <w:rsid w:val="003B04D3"/>
    <w:rsid w:val="003C08CE"/>
    <w:rsid w:val="003D35F7"/>
    <w:rsid w:val="003E6ECF"/>
    <w:rsid w:val="003F5B16"/>
    <w:rsid w:val="00405A33"/>
    <w:rsid w:val="00416E45"/>
    <w:rsid w:val="00417313"/>
    <w:rsid w:val="0042199B"/>
    <w:rsid w:val="00424EB5"/>
    <w:rsid w:val="00427AD5"/>
    <w:rsid w:val="0043352F"/>
    <w:rsid w:val="004347C1"/>
    <w:rsid w:val="00443607"/>
    <w:rsid w:val="004655DC"/>
    <w:rsid w:val="00470CBB"/>
    <w:rsid w:val="004A5838"/>
    <w:rsid w:val="004B1668"/>
    <w:rsid w:val="00525B3A"/>
    <w:rsid w:val="00553159"/>
    <w:rsid w:val="00553783"/>
    <w:rsid w:val="00554E34"/>
    <w:rsid w:val="005638A3"/>
    <w:rsid w:val="00575E80"/>
    <w:rsid w:val="00580C46"/>
    <w:rsid w:val="005967B1"/>
    <w:rsid w:val="005A5C6C"/>
    <w:rsid w:val="005A5D6C"/>
    <w:rsid w:val="005B4A1A"/>
    <w:rsid w:val="005E2D98"/>
    <w:rsid w:val="005E4F0A"/>
    <w:rsid w:val="005E6101"/>
    <w:rsid w:val="006048E4"/>
    <w:rsid w:val="00622ECB"/>
    <w:rsid w:val="006249BE"/>
    <w:rsid w:val="006254AE"/>
    <w:rsid w:val="0062707A"/>
    <w:rsid w:val="0063056D"/>
    <w:rsid w:val="006443C4"/>
    <w:rsid w:val="0065687A"/>
    <w:rsid w:val="00656A27"/>
    <w:rsid w:val="006626DF"/>
    <w:rsid w:val="00662D0C"/>
    <w:rsid w:val="00674C7A"/>
    <w:rsid w:val="00681618"/>
    <w:rsid w:val="0069098C"/>
    <w:rsid w:val="006E07D0"/>
    <w:rsid w:val="006E4334"/>
    <w:rsid w:val="006F7D8B"/>
    <w:rsid w:val="00732BDB"/>
    <w:rsid w:val="00743536"/>
    <w:rsid w:val="00761D72"/>
    <w:rsid w:val="00767327"/>
    <w:rsid w:val="00780612"/>
    <w:rsid w:val="00782520"/>
    <w:rsid w:val="007A3026"/>
    <w:rsid w:val="007A5E71"/>
    <w:rsid w:val="007B47C1"/>
    <w:rsid w:val="007B49EA"/>
    <w:rsid w:val="007C620D"/>
    <w:rsid w:val="007C6B90"/>
    <w:rsid w:val="007D616D"/>
    <w:rsid w:val="007E401D"/>
    <w:rsid w:val="007E58B4"/>
    <w:rsid w:val="007F6938"/>
    <w:rsid w:val="00807847"/>
    <w:rsid w:val="00820521"/>
    <w:rsid w:val="00836614"/>
    <w:rsid w:val="00871040"/>
    <w:rsid w:val="0088017F"/>
    <w:rsid w:val="00885414"/>
    <w:rsid w:val="00896FA5"/>
    <w:rsid w:val="008973C0"/>
    <w:rsid w:val="008A0A51"/>
    <w:rsid w:val="008B53E4"/>
    <w:rsid w:val="008B581C"/>
    <w:rsid w:val="008D438E"/>
    <w:rsid w:val="008E246E"/>
    <w:rsid w:val="008F77A3"/>
    <w:rsid w:val="00905C05"/>
    <w:rsid w:val="0090648E"/>
    <w:rsid w:val="009104AB"/>
    <w:rsid w:val="00920C51"/>
    <w:rsid w:val="00921774"/>
    <w:rsid w:val="009217EF"/>
    <w:rsid w:val="0093231E"/>
    <w:rsid w:val="00940959"/>
    <w:rsid w:val="0097080F"/>
    <w:rsid w:val="009A6338"/>
    <w:rsid w:val="009B3CFE"/>
    <w:rsid w:val="009E0F28"/>
    <w:rsid w:val="009E268A"/>
    <w:rsid w:val="009E4809"/>
    <w:rsid w:val="009E4C20"/>
    <w:rsid w:val="00A35E74"/>
    <w:rsid w:val="00A42C28"/>
    <w:rsid w:val="00A45C35"/>
    <w:rsid w:val="00A650F0"/>
    <w:rsid w:val="00A72CE1"/>
    <w:rsid w:val="00A74481"/>
    <w:rsid w:val="00AA32E2"/>
    <w:rsid w:val="00AA3B87"/>
    <w:rsid w:val="00AA3B99"/>
    <w:rsid w:val="00AB6C58"/>
    <w:rsid w:val="00AC0CCC"/>
    <w:rsid w:val="00AC3D9D"/>
    <w:rsid w:val="00AD4CDE"/>
    <w:rsid w:val="00AF38FB"/>
    <w:rsid w:val="00B0527E"/>
    <w:rsid w:val="00B067E3"/>
    <w:rsid w:val="00B15694"/>
    <w:rsid w:val="00B22EAD"/>
    <w:rsid w:val="00B51BDB"/>
    <w:rsid w:val="00B55223"/>
    <w:rsid w:val="00B56A21"/>
    <w:rsid w:val="00B67F15"/>
    <w:rsid w:val="00B7285B"/>
    <w:rsid w:val="00B734B0"/>
    <w:rsid w:val="00B736E4"/>
    <w:rsid w:val="00B77F9C"/>
    <w:rsid w:val="00B94CBD"/>
    <w:rsid w:val="00BA6089"/>
    <w:rsid w:val="00BB22F0"/>
    <w:rsid w:val="00BB2E16"/>
    <w:rsid w:val="00BC63A8"/>
    <w:rsid w:val="00BC6A98"/>
    <w:rsid w:val="00BD54B3"/>
    <w:rsid w:val="00BE3BF2"/>
    <w:rsid w:val="00C010C3"/>
    <w:rsid w:val="00C15EC7"/>
    <w:rsid w:val="00C174E5"/>
    <w:rsid w:val="00C24003"/>
    <w:rsid w:val="00C32EE2"/>
    <w:rsid w:val="00C33D04"/>
    <w:rsid w:val="00C4229C"/>
    <w:rsid w:val="00C43498"/>
    <w:rsid w:val="00C4572C"/>
    <w:rsid w:val="00C47AFA"/>
    <w:rsid w:val="00C70355"/>
    <w:rsid w:val="00C739A2"/>
    <w:rsid w:val="00C820EA"/>
    <w:rsid w:val="00CA01DC"/>
    <w:rsid w:val="00CA6524"/>
    <w:rsid w:val="00CB1C30"/>
    <w:rsid w:val="00CB1CAC"/>
    <w:rsid w:val="00CB2D23"/>
    <w:rsid w:val="00CB7ABF"/>
    <w:rsid w:val="00CC1933"/>
    <w:rsid w:val="00CD2982"/>
    <w:rsid w:val="00CD6A20"/>
    <w:rsid w:val="00CE2B25"/>
    <w:rsid w:val="00CE3013"/>
    <w:rsid w:val="00D043E5"/>
    <w:rsid w:val="00D05A2D"/>
    <w:rsid w:val="00D115EB"/>
    <w:rsid w:val="00D13CA5"/>
    <w:rsid w:val="00D16028"/>
    <w:rsid w:val="00D163AF"/>
    <w:rsid w:val="00D27AF7"/>
    <w:rsid w:val="00D47563"/>
    <w:rsid w:val="00D56738"/>
    <w:rsid w:val="00D63435"/>
    <w:rsid w:val="00D755FE"/>
    <w:rsid w:val="00D859FC"/>
    <w:rsid w:val="00D91B83"/>
    <w:rsid w:val="00DA022F"/>
    <w:rsid w:val="00DA168F"/>
    <w:rsid w:val="00DB4680"/>
    <w:rsid w:val="00DB740A"/>
    <w:rsid w:val="00DC354A"/>
    <w:rsid w:val="00DD0901"/>
    <w:rsid w:val="00DD4286"/>
    <w:rsid w:val="00DE0ABF"/>
    <w:rsid w:val="00DF1C36"/>
    <w:rsid w:val="00DF4593"/>
    <w:rsid w:val="00E259CF"/>
    <w:rsid w:val="00E30CA7"/>
    <w:rsid w:val="00E36B24"/>
    <w:rsid w:val="00E40FA7"/>
    <w:rsid w:val="00E54D34"/>
    <w:rsid w:val="00E55D15"/>
    <w:rsid w:val="00E66988"/>
    <w:rsid w:val="00E6794A"/>
    <w:rsid w:val="00E67E0F"/>
    <w:rsid w:val="00E81C01"/>
    <w:rsid w:val="00E820B6"/>
    <w:rsid w:val="00E828C8"/>
    <w:rsid w:val="00E94091"/>
    <w:rsid w:val="00E951E5"/>
    <w:rsid w:val="00EA1D22"/>
    <w:rsid w:val="00EA2303"/>
    <w:rsid w:val="00EA7072"/>
    <w:rsid w:val="00EB3E60"/>
    <w:rsid w:val="00EC0695"/>
    <w:rsid w:val="00ED31A0"/>
    <w:rsid w:val="00ED6685"/>
    <w:rsid w:val="00EE2308"/>
    <w:rsid w:val="00F1039A"/>
    <w:rsid w:val="00F1349F"/>
    <w:rsid w:val="00F16C44"/>
    <w:rsid w:val="00F21B43"/>
    <w:rsid w:val="00F21BA0"/>
    <w:rsid w:val="00F331B5"/>
    <w:rsid w:val="00F33E78"/>
    <w:rsid w:val="00F603F2"/>
    <w:rsid w:val="00F67EA0"/>
    <w:rsid w:val="00F74617"/>
    <w:rsid w:val="00F902B1"/>
    <w:rsid w:val="00F93968"/>
    <w:rsid w:val="00F97C4F"/>
    <w:rsid w:val="00FA5AA3"/>
    <w:rsid w:val="00FB75C8"/>
    <w:rsid w:val="00FD38E9"/>
    <w:rsid w:val="00FD6DBC"/>
    <w:rsid w:val="00FE4E00"/>
    <w:rsid w:val="204234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302EA"/>
  <w15:chartTrackingRefBased/>
  <w15:docId w15:val="{A47320FD-0FD0-4276-9852-A19416E85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025"/>
    <w:rPr>
      <w:color w:val="404040" w:themeColor="text2"/>
      <w:sz w:val="20"/>
      <w:szCs w:val="20"/>
    </w:rPr>
  </w:style>
  <w:style w:type="paragraph" w:styleId="Heading1">
    <w:name w:val="heading 1"/>
    <w:basedOn w:val="Normal"/>
    <w:next w:val="Normal"/>
    <w:link w:val="Heading1Char"/>
    <w:uiPriority w:val="9"/>
    <w:qFormat/>
    <w:rsid w:val="00F97C4F"/>
    <w:pPr>
      <w:keepNext/>
      <w:keepLines/>
      <w:spacing w:after="240"/>
      <w:outlineLvl w:val="0"/>
    </w:pPr>
    <w:rPr>
      <w:rFonts w:asciiTheme="majorHAnsi" w:eastAsiaTheme="majorEastAsia" w:hAnsiTheme="majorHAnsi" w:cstheme="majorBidi"/>
      <w:color w:val="ED1A3B" w:themeColor="accent1"/>
      <w:sz w:val="56"/>
      <w:szCs w:val="32"/>
    </w:rPr>
  </w:style>
  <w:style w:type="paragraph" w:styleId="Heading2">
    <w:name w:val="heading 2"/>
    <w:basedOn w:val="Normal"/>
    <w:next w:val="Normal"/>
    <w:link w:val="Heading2Char"/>
    <w:uiPriority w:val="9"/>
    <w:unhideWhenUsed/>
    <w:qFormat/>
    <w:rsid w:val="001E5FEB"/>
    <w:pPr>
      <w:keepNext/>
      <w:keepLines/>
      <w:outlineLvl w:val="1"/>
    </w:pPr>
    <w:rPr>
      <w:rFonts w:asciiTheme="majorHAnsi" w:eastAsiaTheme="majorEastAsia" w:hAnsiTheme="majorHAnsi" w:cstheme="majorBidi"/>
      <w:b/>
      <w:caps/>
      <w:sz w:val="24"/>
      <w:szCs w:val="24"/>
    </w:rPr>
  </w:style>
  <w:style w:type="paragraph" w:styleId="Heading3">
    <w:name w:val="heading 3"/>
    <w:basedOn w:val="Normal"/>
    <w:next w:val="Normal"/>
    <w:link w:val="Heading3Char"/>
    <w:uiPriority w:val="9"/>
    <w:unhideWhenUsed/>
    <w:qFormat/>
    <w:rsid w:val="00B734B0"/>
    <w:pPr>
      <w:keepNext/>
      <w:keepLines/>
      <w:spacing w:before="60"/>
      <w:outlineLvl w:val="2"/>
    </w:pPr>
    <w:rPr>
      <w:rFonts w:asciiTheme="majorHAnsi" w:eastAsia="Trebuchet MS" w:hAnsiTheme="majorHAnsi" w:cstheme="majorBidi"/>
      <w:color w:val="02A5E2" w:themeColor="accent2"/>
      <w:sz w:val="22"/>
      <w:szCs w:val="24"/>
    </w:rPr>
  </w:style>
  <w:style w:type="paragraph" w:styleId="Heading4">
    <w:name w:val="heading 4"/>
    <w:basedOn w:val="Heading3"/>
    <w:next w:val="Normal"/>
    <w:link w:val="Heading4Char"/>
    <w:uiPriority w:val="9"/>
    <w:unhideWhenUsed/>
    <w:qFormat/>
    <w:rsid w:val="00B734B0"/>
    <w:pPr>
      <w:outlineLvl w:val="3"/>
    </w:pPr>
    <w:rPr>
      <w:b/>
      <w:color w:val="404040" w:themeColor="text2"/>
      <w:sz w:val="20"/>
    </w:rPr>
  </w:style>
  <w:style w:type="paragraph" w:styleId="Heading5">
    <w:name w:val="heading 5"/>
    <w:basedOn w:val="Heading4"/>
    <w:next w:val="Normal"/>
    <w:link w:val="Heading5Char"/>
    <w:uiPriority w:val="9"/>
    <w:unhideWhenUsed/>
    <w:qFormat/>
    <w:rsid w:val="00E66988"/>
    <w:pPr>
      <w:outlineLvl w:val="4"/>
    </w:pPr>
    <w:rPr>
      <w:color w:val="ED1A3B" w:themeColor="accent1"/>
    </w:rPr>
  </w:style>
  <w:style w:type="paragraph" w:styleId="Heading6">
    <w:name w:val="heading 6"/>
    <w:basedOn w:val="Normal"/>
    <w:next w:val="Normal"/>
    <w:link w:val="Heading6Char"/>
    <w:uiPriority w:val="9"/>
    <w:unhideWhenUsed/>
    <w:qFormat/>
    <w:rsid w:val="001E5FEB"/>
    <w:pPr>
      <w:keepNext/>
      <w:keepLines/>
      <w:spacing w:before="40" w:after="0"/>
      <w:outlineLvl w:val="5"/>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20521"/>
    <w:pPr>
      <w:keepLines/>
      <w:spacing w:after="0"/>
    </w:pPr>
    <w:rPr>
      <w:rFonts w:ascii="Trebuchet MS" w:eastAsia="Times New Roman" w:hAnsi="Trebuchet MS"/>
      <w:sz w:val="16"/>
    </w:rPr>
  </w:style>
  <w:style w:type="character" w:customStyle="1" w:styleId="FootnoteTextChar">
    <w:name w:val="Footnote Text Char"/>
    <w:basedOn w:val="DefaultParagraphFont"/>
    <w:link w:val="FootnoteText"/>
    <w:uiPriority w:val="99"/>
    <w:rsid w:val="00820521"/>
    <w:rPr>
      <w:rFonts w:ascii="Trebuchet MS" w:eastAsia="Times New Roman" w:hAnsi="Trebuchet MS"/>
      <w:color w:val="404040" w:themeColor="text2"/>
      <w:sz w:val="16"/>
    </w:rPr>
  </w:style>
  <w:style w:type="character" w:customStyle="1" w:styleId="Heading1Char">
    <w:name w:val="Heading 1 Char"/>
    <w:basedOn w:val="DefaultParagraphFont"/>
    <w:link w:val="Heading1"/>
    <w:uiPriority w:val="9"/>
    <w:rsid w:val="00F97C4F"/>
    <w:rPr>
      <w:rFonts w:asciiTheme="majorHAnsi" w:eastAsiaTheme="majorEastAsia" w:hAnsiTheme="majorHAnsi" w:cstheme="majorBidi"/>
      <w:color w:val="ED1A3B" w:themeColor="accent1"/>
      <w:sz w:val="56"/>
      <w:szCs w:val="32"/>
    </w:rPr>
  </w:style>
  <w:style w:type="character" w:customStyle="1" w:styleId="Heading2Char">
    <w:name w:val="Heading 2 Char"/>
    <w:basedOn w:val="DefaultParagraphFont"/>
    <w:link w:val="Heading2"/>
    <w:uiPriority w:val="9"/>
    <w:rsid w:val="001E5FEB"/>
    <w:rPr>
      <w:rFonts w:asciiTheme="majorHAnsi" w:eastAsiaTheme="majorEastAsia" w:hAnsiTheme="majorHAnsi" w:cstheme="majorBidi"/>
      <w:b/>
      <w:caps/>
      <w:color w:val="404040" w:themeColor="text2"/>
      <w:sz w:val="24"/>
      <w:szCs w:val="24"/>
    </w:rPr>
  </w:style>
  <w:style w:type="character" w:customStyle="1" w:styleId="Heading3Char">
    <w:name w:val="Heading 3 Char"/>
    <w:basedOn w:val="DefaultParagraphFont"/>
    <w:link w:val="Heading3"/>
    <w:uiPriority w:val="9"/>
    <w:rsid w:val="00B734B0"/>
    <w:rPr>
      <w:rFonts w:asciiTheme="majorHAnsi" w:eastAsia="Trebuchet MS" w:hAnsiTheme="majorHAnsi" w:cstheme="majorBidi"/>
      <w:color w:val="02A5E2" w:themeColor="accent2"/>
      <w:szCs w:val="24"/>
    </w:rPr>
  </w:style>
  <w:style w:type="character" w:customStyle="1" w:styleId="Heading4Char">
    <w:name w:val="Heading 4 Char"/>
    <w:basedOn w:val="DefaultParagraphFont"/>
    <w:link w:val="Heading4"/>
    <w:uiPriority w:val="9"/>
    <w:rsid w:val="00B734B0"/>
    <w:rPr>
      <w:rFonts w:asciiTheme="majorHAnsi" w:eastAsia="Trebuchet MS" w:hAnsiTheme="majorHAnsi" w:cstheme="majorBidi"/>
      <w:b/>
      <w:color w:val="404040" w:themeColor="text2"/>
      <w:sz w:val="20"/>
      <w:szCs w:val="24"/>
    </w:rPr>
  </w:style>
  <w:style w:type="character" w:customStyle="1" w:styleId="Heading5Char">
    <w:name w:val="Heading 5 Char"/>
    <w:basedOn w:val="DefaultParagraphFont"/>
    <w:link w:val="Heading5"/>
    <w:uiPriority w:val="9"/>
    <w:rsid w:val="00E66988"/>
    <w:rPr>
      <w:rFonts w:asciiTheme="majorHAnsi" w:eastAsia="Trebuchet MS" w:hAnsiTheme="majorHAnsi" w:cstheme="majorBidi"/>
      <w:b/>
      <w:color w:val="ED1A3B" w:themeColor="accent1"/>
      <w:sz w:val="20"/>
      <w:szCs w:val="24"/>
    </w:rPr>
  </w:style>
  <w:style w:type="character" w:customStyle="1" w:styleId="Heading6Char">
    <w:name w:val="Heading 6 Char"/>
    <w:basedOn w:val="DefaultParagraphFont"/>
    <w:link w:val="Heading6"/>
    <w:uiPriority w:val="9"/>
    <w:rsid w:val="001E5FEB"/>
    <w:rPr>
      <w:rFonts w:asciiTheme="majorHAnsi" w:eastAsiaTheme="majorEastAsia" w:hAnsiTheme="majorHAnsi" w:cstheme="majorBidi"/>
      <w:b/>
      <w:color w:val="404040" w:themeColor="text2"/>
      <w:sz w:val="20"/>
    </w:rPr>
  </w:style>
  <w:style w:type="paragraph" w:styleId="ListParagraph">
    <w:name w:val="List Paragraph"/>
    <w:basedOn w:val="Normal"/>
    <w:link w:val="ListParagraphChar"/>
    <w:uiPriority w:val="34"/>
    <w:qFormat/>
    <w:rsid w:val="001E5FEB"/>
    <w:pPr>
      <w:ind w:left="360" w:hanging="360"/>
    </w:pPr>
  </w:style>
  <w:style w:type="paragraph" w:styleId="Quote">
    <w:name w:val="Quote"/>
    <w:basedOn w:val="Normal"/>
    <w:next w:val="Normal"/>
    <w:link w:val="QuoteChar"/>
    <w:uiPriority w:val="29"/>
    <w:qFormat/>
    <w:rsid w:val="001E5FEB"/>
    <w:pPr>
      <w:ind w:right="864"/>
    </w:pPr>
    <w:rPr>
      <w:i/>
      <w:iCs/>
      <w:color w:val="02A5E2" w:themeColor="accent2"/>
      <w:sz w:val="28"/>
    </w:rPr>
  </w:style>
  <w:style w:type="character" w:customStyle="1" w:styleId="QuoteChar">
    <w:name w:val="Quote Char"/>
    <w:basedOn w:val="DefaultParagraphFont"/>
    <w:link w:val="Quote"/>
    <w:uiPriority w:val="29"/>
    <w:rsid w:val="001E5FEB"/>
    <w:rPr>
      <w:i/>
      <w:iCs/>
      <w:color w:val="02A5E2" w:themeColor="accent2"/>
      <w:sz w:val="28"/>
    </w:rPr>
  </w:style>
  <w:style w:type="paragraph" w:styleId="Header">
    <w:name w:val="header"/>
    <w:basedOn w:val="Normal"/>
    <w:link w:val="HeaderChar"/>
    <w:uiPriority w:val="99"/>
    <w:unhideWhenUsed/>
    <w:rsid w:val="00280FA0"/>
    <w:pPr>
      <w:tabs>
        <w:tab w:val="center" w:pos="4680"/>
        <w:tab w:val="right" w:pos="9360"/>
      </w:tabs>
      <w:spacing w:after="0"/>
    </w:pPr>
  </w:style>
  <w:style w:type="character" w:customStyle="1" w:styleId="HeaderChar">
    <w:name w:val="Header Char"/>
    <w:basedOn w:val="DefaultParagraphFont"/>
    <w:link w:val="Header"/>
    <w:uiPriority w:val="99"/>
    <w:rsid w:val="00280FA0"/>
    <w:rPr>
      <w:color w:val="404040" w:themeColor="text2"/>
      <w:sz w:val="20"/>
      <w:szCs w:val="20"/>
    </w:rPr>
  </w:style>
  <w:style w:type="paragraph" w:styleId="Footer">
    <w:name w:val="footer"/>
    <w:basedOn w:val="Normal"/>
    <w:link w:val="FooterChar"/>
    <w:uiPriority w:val="99"/>
    <w:unhideWhenUsed/>
    <w:rsid w:val="00280FA0"/>
    <w:pPr>
      <w:tabs>
        <w:tab w:val="center" w:pos="4680"/>
        <w:tab w:val="right" w:pos="9360"/>
      </w:tabs>
      <w:spacing w:after="0"/>
    </w:pPr>
  </w:style>
  <w:style w:type="character" w:customStyle="1" w:styleId="FooterChar">
    <w:name w:val="Footer Char"/>
    <w:basedOn w:val="DefaultParagraphFont"/>
    <w:link w:val="Footer"/>
    <w:uiPriority w:val="99"/>
    <w:rsid w:val="00280FA0"/>
    <w:rPr>
      <w:color w:val="404040" w:themeColor="text2"/>
      <w:sz w:val="20"/>
      <w:szCs w:val="20"/>
    </w:rPr>
  </w:style>
  <w:style w:type="paragraph" w:customStyle="1" w:styleId="Bodytext">
    <w:name w:val="Body_text"/>
    <w:link w:val="BodytextChar"/>
    <w:rsid w:val="006249BE"/>
    <w:rPr>
      <w:rFonts w:eastAsia="Times New Roman" w:cs="Times New Roman"/>
      <w:color w:val="404040" w:themeColor="text2"/>
      <w:kern w:val="16"/>
      <w:sz w:val="20"/>
      <w:szCs w:val="24"/>
      <w:lang w:eastAsia="en-GB"/>
    </w:rPr>
  </w:style>
  <w:style w:type="character" w:customStyle="1" w:styleId="BodytextChar">
    <w:name w:val="Body_text Char"/>
    <w:basedOn w:val="DefaultParagraphFont"/>
    <w:link w:val="Bodytext"/>
    <w:rsid w:val="006249BE"/>
    <w:rPr>
      <w:rFonts w:eastAsia="Times New Roman" w:cs="Times New Roman"/>
      <w:color w:val="404040" w:themeColor="text2"/>
      <w:kern w:val="16"/>
      <w:sz w:val="20"/>
      <w:szCs w:val="24"/>
      <w:lang w:eastAsia="en-GB"/>
    </w:rPr>
  </w:style>
  <w:style w:type="paragraph" w:customStyle="1" w:styleId="BDONormal">
    <w:name w:val="BDO_Normal"/>
    <w:link w:val="BDONormalChar"/>
    <w:rsid w:val="00280FA0"/>
    <w:pPr>
      <w:spacing w:after="0"/>
    </w:pPr>
    <w:rPr>
      <w:rFonts w:ascii="Trebuchet MS" w:eastAsia="Times New Roman" w:hAnsi="Trebuchet MS" w:cs="Times New Roman"/>
      <w:sz w:val="20"/>
      <w:szCs w:val="24"/>
      <w:lang w:eastAsia="en-GB"/>
    </w:rPr>
  </w:style>
  <w:style w:type="character" w:customStyle="1" w:styleId="BDONormalChar">
    <w:name w:val="BDO_Normal Char"/>
    <w:basedOn w:val="DefaultParagraphFont"/>
    <w:link w:val="BDONormal"/>
    <w:rsid w:val="00280FA0"/>
    <w:rPr>
      <w:rFonts w:ascii="Trebuchet MS" w:eastAsia="Times New Roman" w:hAnsi="Trebuchet MS" w:cs="Times New Roman"/>
      <w:sz w:val="20"/>
      <w:szCs w:val="24"/>
      <w:lang w:eastAsia="en-GB"/>
    </w:rPr>
  </w:style>
  <w:style w:type="table" w:styleId="TableGrid">
    <w:name w:val="Table Grid"/>
    <w:aliases w:val="IPG Table 1"/>
    <w:basedOn w:val="TableNormal"/>
    <w:uiPriority w:val="39"/>
    <w:rsid w:val="00280FA0"/>
    <w:pPr>
      <w:spacing w:after="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claimer">
    <w:name w:val="Disclaimer"/>
    <w:basedOn w:val="Normal"/>
    <w:uiPriority w:val="99"/>
    <w:qFormat/>
    <w:rsid w:val="00280FA0"/>
    <w:pPr>
      <w:framePr w:hSpace="180" w:wrap="around" w:vAnchor="page" w:hAnchor="margin" w:xAlign="center" w:y="3307"/>
      <w:spacing w:after="80"/>
      <w:ind w:right="323"/>
    </w:pPr>
    <w:rPr>
      <w:rFonts w:eastAsiaTheme="minorEastAsia"/>
      <w:bCs/>
      <w:color w:val="FFFFFF" w:themeColor="background1"/>
      <w:sz w:val="14"/>
      <w:szCs w:val="14"/>
      <w:lang w:eastAsia="en-GB"/>
    </w:rPr>
  </w:style>
  <w:style w:type="paragraph" w:customStyle="1" w:styleId="BDOFooter">
    <w:name w:val="BDO_Footer"/>
    <w:basedOn w:val="BDONormal"/>
    <w:rsid w:val="00280FA0"/>
    <w:pPr>
      <w:spacing w:line="144" w:lineRule="exact"/>
    </w:pPr>
    <w:rPr>
      <w:color w:val="786860"/>
      <w:sz w:val="12"/>
    </w:rPr>
  </w:style>
  <w:style w:type="paragraph" w:customStyle="1" w:styleId="Introtext">
    <w:name w:val="Intro text"/>
    <w:basedOn w:val="Bodytext"/>
    <w:qFormat/>
    <w:rsid w:val="006249BE"/>
    <w:pPr>
      <w:spacing w:after="360"/>
    </w:pPr>
    <w:rPr>
      <w:sz w:val="28"/>
      <w:szCs w:val="22"/>
    </w:rPr>
  </w:style>
  <w:style w:type="paragraph" w:customStyle="1" w:styleId="Bullet1">
    <w:name w:val="Bullet 1"/>
    <w:basedOn w:val="Bodytext"/>
    <w:uiPriority w:val="99"/>
    <w:qFormat/>
    <w:rsid w:val="006249BE"/>
    <w:pPr>
      <w:numPr>
        <w:numId w:val="6"/>
      </w:numPr>
      <w:ind w:left="360"/>
    </w:pPr>
  </w:style>
  <w:style w:type="paragraph" w:customStyle="1" w:styleId="Bullet2">
    <w:name w:val="Bullet 2"/>
    <w:basedOn w:val="Bullet1"/>
    <w:uiPriority w:val="99"/>
    <w:qFormat/>
    <w:rsid w:val="006249BE"/>
    <w:pPr>
      <w:numPr>
        <w:ilvl w:val="1"/>
        <w:numId w:val="7"/>
      </w:numPr>
      <w:ind w:left="540"/>
    </w:pPr>
  </w:style>
  <w:style w:type="paragraph" w:customStyle="1" w:styleId="Tabletext">
    <w:name w:val="Table text"/>
    <w:basedOn w:val="Bodytext"/>
    <w:uiPriority w:val="99"/>
    <w:qFormat/>
    <w:rsid w:val="002A0025"/>
    <w:pPr>
      <w:spacing w:after="0"/>
    </w:pPr>
    <w:rPr>
      <w:b/>
      <w:bCs/>
    </w:rPr>
  </w:style>
  <w:style w:type="table" w:customStyle="1" w:styleId="BDOTable">
    <w:name w:val="BDO Table"/>
    <w:basedOn w:val="TableNormal"/>
    <w:uiPriority w:val="99"/>
    <w:rsid w:val="00ED31A0"/>
    <w:pPr>
      <w:spacing w:after="0"/>
    </w:pPr>
    <w:rPr>
      <w:rFonts w:eastAsiaTheme="minorEastAsia"/>
    </w:rPr>
    <w:tblPr>
      <w:tblBorders>
        <w:insideH w:val="single" w:sz="4" w:space="0" w:color="404040" w:themeColor="text2"/>
      </w:tblBorders>
      <w:tblCellMar>
        <w:top w:w="57" w:type="dxa"/>
        <w:left w:w="57" w:type="dxa"/>
        <w:bottom w:w="57" w:type="dxa"/>
        <w:right w:w="57" w:type="dxa"/>
      </w:tblCellMar>
    </w:tblPr>
    <w:tcPr>
      <w:shd w:val="clear" w:color="auto" w:fill="auto"/>
    </w:tcPr>
    <w:tblStylePr w:type="firstRow">
      <w:rPr>
        <w:color w:val="FFFFFF" w:themeColor="background1"/>
      </w:rPr>
      <w:tblPr/>
      <w:trPr>
        <w:tblHeader/>
      </w:trPr>
      <w:tcPr>
        <w:tcBorders>
          <w:top w:val="single" w:sz="4" w:space="0" w:color="E7E7E7" w:themeColor="text1"/>
          <w:left w:val="single" w:sz="4" w:space="0" w:color="E7E7E7" w:themeColor="text1"/>
          <w:bottom w:val="single" w:sz="4" w:space="0" w:color="E7E7E7" w:themeColor="text1"/>
          <w:right w:val="single" w:sz="4" w:space="0" w:color="E7E7E7" w:themeColor="text1"/>
          <w:insideH w:val="nil"/>
          <w:insideV w:val="nil"/>
          <w:tl2br w:val="nil"/>
          <w:tr2bl w:val="nil"/>
        </w:tcBorders>
        <w:shd w:val="clear" w:color="auto" w:fill="E7E7E7" w:themeFill="text1"/>
      </w:tcPr>
    </w:tblStylePr>
  </w:style>
  <w:style w:type="paragraph" w:styleId="TOC1">
    <w:name w:val="toc 1"/>
    <w:aliases w:val="*TOC 1,BDO CVI TOC 1,Table of Contents Level 1"/>
    <w:next w:val="Normal"/>
    <w:autoRedefine/>
    <w:uiPriority w:val="39"/>
    <w:unhideWhenUsed/>
    <w:qFormat/>
    <w:rsid w:val="00305D05"/>
    <w:pPr>
      <w:tabs>
        <w:tab w:val="right" w:leader="dot" w:pos="10502"/>
      </w:tabs>
    </w:pPr>
    <w:rPr>
      <w:rFonts w:ascii="Trebuchet MS" w:eastAsiaTheme="minorEastAsia" w:hAnsi="Trebuchet MS"/>
      <w:b/>
      <w:caps/>
      <w:noProof/>
      <w:color w:val="404040" w:themeColor="text2"/>
      <w:sz w:val="24"/>
    </w:rPr>
  </w:style>
  <w:style w:type="character" w:styleId="Hyperlink">
    <w:name w:val="Hyperlink"/>
    <w:basedOn w:val="DefaultParagraphFont"/>
    <w:uiPriority w:val="99"/>
    <w:rsid w:val="00AA3B99"/>
    <w:rPr>
      <w:color w:val="02A5E2" w:themeColor="hyperlink"/>
      <w:u w:val="single"/>
    </w:rPr>
  </w:style>
  <w:style w:type="paragraph" w:customStyle="1" w:styleId="Contents">
    <w:name w:val="Contents"/>
    <w:basedOn w:val="Normal"/>
    <w:uiPriority w:val="99"/>
    <w:qFormat/>
    <w:rsid w:val="00AA3B99"/>
    <w:pPr>
      <w:spacing w:after="1200"/>
    </w:pPr>
    <w:rPr>
      <w:rFonts w:eastAsiaTheme="minorEastAsia"/>
      <w:b/>
      <w:sz w:val="44"/>
      <w:szCs w:val="44"/>
    </w:rPr>
  </w:style>
  <w:style w:type="character" w:styleId="CommentReference">
    <w:name w:val="annotation reference"/>
    <w:basedOn w:val="DefaultParagraphFont"/>
    <w:uiPriority w:val="99"/>
    <w:semiHidden/>
    <w:unhideWhenUsed/>
    <w:rsid w:val="00AC3D9D"/>
    <w:rPr>
      <w:sz w:val="16"/>
      <w:szCs w:val="16"/>
    </w:rPr>
  </w:style>
  <w:style w:type="paragraph" w:styleId="CommentText">
    <w:name w:val="annotation text"/>
    <w:basedOn w:val="Normal"/>
    <w:link w:val="CommentTextChar"/>
    <w:uiPriority w:val="99"/>
    <w:unhideWhenUsed/>
    <w:rsid w:val="00AC3D9D"/>
  </w:style>
  <w:style w:type="character" w:customStyle="1" w:styleId="CommentTextChar">
    <w:name w:val="Comment Text Char"/>
    <w:basedOn w:val="DefaultParagraphFont"/>
    <w:link w:val="CommentText"/>
    <w:uiPriority w:val="99"/>
    <w:rsid w:val="00AC3D9D"/>
    <w:rPr>
      <w:color w:val="404040" w:themeColor="text2"/>
      <w:sz w:val="20"/>
      <w:szCs w:val="20"/>
    </w:rPr>
  </w:style>
  <w:style w:type="paragraph" w:styleId="CommentSubject">
    <w:name w:val="annotation subject"/>
    <w:basedOn w:val="CommentText"/>
    <w:next w:val="CommentText"/>
    <w:link w:val="CommentSubjectChar"/>
    <w:uiPriority w:val="99"/>
    <w:semiHidden/>
    <w:unhideWhenUsed/>
    <w:rsid w:val="00AC3D9D"/>
    <w:rPr>
      <w:b/>
      <w:bCs/>
    </w:rPr>
  </w:style>
  <w:style w:type="character" w:customStyle="1" w:styleId="CommentSubjectChar">
    <w:name w:val="Comment Subject Char"/>
    <w:basedOn w:val="CommentTextChar"/>
    <w:link w:val="CommentSubject"/>
    <w:uiPriority w:val="99"/>
    <w:semiHidden/>
    <w:rsid w:val="00AC3D9D"/>
    <w:rPr>
      <w:b/>
      <w:bCs/>
      <w:color w:val="404040" w:themeColor="text2"/>
      <w:sz w:val="20"/>
      <w:szCs w:val="20"/>
    </w:rPr>
  </w:style>
  <w:style w:type="paragraph" w:styleId="BalloonText">
    <w:name w:val="Balloon Text"/>
    <w:basedOn w:val="Normal"/>
    <w:link w:val="BalloonTextChar"/>
    <w:uiPriority w:val="99"/>
    <w:semiHidden/>
    <w:unhideWhenUsed/>
    <w:rsid w:val="00AC3D9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D9D"/>
    <w:rPr>
      <w:rFonts w:ascii="Segoe UI" w:hAnsi="Segoe UI" w:cs="Segoe UI"/>
      <w:color w:val="404040" w:themeColor="text2"/>
      <w:sz w:val="18"/>
      <w:szCs w:val="18"/>
    </w:rPr>
  </w:style>
  <w:style w:type="character" w:styleId="Emphasis">
    <w:name w:val="Emphasis"/>
    <w:basedOn w:val="DefaultParagraphFont"/>
    <w:uiPriority w:val="20"/>
    <w:rsid w:val="00AC3D9D"/>
    <w:rPr>
      <w:rFonts w:ascii="Times New Roman" w:hAnsi="Times New Roman" w:cs="Times New Roman" w:hint="default"/>
      <w:i/>
      <w:iCs/>
    </w:rPr>
  </w:style>
  <w:style w:type="table" w:styleId="ListTable3-Accent1">
    <w:name w:val="List Table 3 Accent 1"/>
    <w:basedOn w:val="TableNormal"/>
    <w:uiPriority w:val="48"/>
    <w:rsid w:val="00D043E5"/>
    <w:pPr>
      <w:spacing w:after="0"/>
    </w:pPr>
    <w:tblPr>
      <w:tblStyleRowBandSize w:val="1"/>
      <w:tblStyleColBandSize w:val="1"/>
      <w:tblBorders>
        <w:top w:val="single" w:sz="4" w:space="0" w:color="ED1A3B" w:themeColor="accent1"/>
        <w:left w:val="single" w:sz="4" w:space="0" w:color="ED1A3B" w:themeColor="accent1"/>
        <w:bottom w:val="single" w:sz="4" w:space="0" w:color="ED1A3B" w:themeColor="accent1"/>
        <w:right w:val="single" w:sz="4" w:space="0" w:color="ED1A3B" w:themeColor="accent1"/>
      </w:tblBorders>
    </w:tblPr>
    <w:tblStylePr w:type="firstRow">
      <w:rPr>
        <w:b/>
        <w:bCs/>
        <w:color w:val="FFFFFF" w:themeColor="background1"/>
      </w:rPr>
      <w:tblPr/>
      <w:tcPr>
        <w:shd w:val="clear" w:color="auto" w:fill="ED1A3B" w:themeFill="accent1"/>
      </w:tcPr>
    </w:tblStylePr>
    <w:tblStylePr w:type="lastRow">
      <w:rPr>
        <w:b/>
        <w:bCs/>
      </w:rPr>
      <w:tblPr/>
      <w:tcPr>
        <w:tcBorders>
          <w:top w:val="double" w:sz="4" w:space="0" w:color="ED1A3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1A3B" w:themeColor="accent1"/>
          <w:right w:val="single" w:sz="4" w:space="0" w:color="ED1A3B" w:themeColor="accent1"/>
        </w:tcBorders>
      </w:tcPr>
    </w:tblStylePr>
    <w:tblStylePr w:type="band1Horz">
      <w:tblPr/>
      <w:tcPr>
        <w:tcBorders>
          <w:top w:val="single" w:sz="4" w:space="0" w:color="ED1A3B" w:themeColor="accent1"/>
          <w:bottom w:val="single" w:sz="4" w:space="0" w:color="ED1A3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1A3B" w:themeColor="accent1"/>
          <w:left w:val="nil"/>
        </w:tcBorders>
      </w:tcPr>
    </w:tblStylePr>
    <w:tblStylePr w:type="swCell">
      <w:tblPr/>
      <w:tcPr>
        <w:tcBorders>
          <w:top w:val="double" w:sz="4" w:space="0" w:color="ED1A3B" w:themeColor="accent1"/>
          <w:right w:val="nil"/>
        </w:tcBorders>
      </w:tcPr>
    </w:tblStylePr>
  </w:style>
  <w:style w:type="table" w:styleId="ListTable4">
    <w:name w:val="List Table 4"/>
    <w:basedOn w:val="TableNormal"/>
    <w:uiPriority w:val="49"/>
    <w:rsid w:val="00D043E5"/>
    <w:pPr>
      <w:spacing w:after="0"/>
    </w:pPr>
    <w:tblPr>
      <w:tblStyleRowBandSize w:val="1"/>
      <w:tblStyleColBandSize w:val="1"/>
      <w:tblBorders>
        <w:top w:val="single" w:sz="4" w:space="0" w:color="F0F0F0" w:themeColor="text1" w:themeTint="99"/>
        <w:left w:val="single" w:sz="4" w:space="0" w:color="F0F0F0" w:themeColor="text1" w:themeTint="99"/>
        <w:bottom w:val="single" w:sz="4" w:space="0" w:color="F0F0F0" w:themeColor="text1" w:themeTint="99"/>
        <w:right w:val="single" w:sz="4" w:space="0" w:color="F0F0F0" w:themeColor="text1" w:themeTint="99"/>
        <w:insideH w:val="single" w:sz="4" w:space="0" w:color="F0F0F0" w:themeColor="text1" w:themeTint="99"/>
      </w:tblBorders>
    </w:tblPr>
    <w:tblStylePr w:type="firstRow">
      <w:rPr>
        <w:b/>
        <w:bCs/>
        <w:color w:val="FFFFFF" w:themeColor="background1"/>
      </w:rPr>
      <w:tblPr/>
      <w:tcPr>
        <w:tcBorders>
          <w:top w:val="single" w:sz="4" w:space="0" w:color="E7E7E7" w:themeColor="text1"/>
          <w:left w:val="single" w:sz="4" w:space="0" w:color="E7E7E7" w:themeColor="text1"/>
          <w:bottom w:val="single" w:sz="4" w:space="0" w:color="E7E7E7" w:themeColor="text1"/>
          <w:right w:val="single" w:sz="4" w:space="0" w:color="E7E7E7" w:themeColor="text1"/>
          <w:insideH w:val="nil"/>
        </w:tcBorders>
        <w:shd w:val="clear" w:color="auto" w:fill="E7E7E7" w:themeFill="text1"/>
      </w:tcPr>
    </w:tblStylePr>
    <w:tblStylePr w:type="lastRow">
      <w:rPr>
        <w:b/>
        <w:bCs/>
      </w:rPr>
      <w:tblPr/>
      <w:tcPr>
        <w:tcBorders>
          <w:top w:val="double" w:sz="4" w:space="0" w:color="F0F0F0" w:themeColor="text1" w:themeTint="99"/>
        </w:tcBorders>
      </w:tcPr>
    </w:tblStylePr>
    <w:tblStylePr w:type="firstCol">
      <w:rPr>
        <w:b/>
        <w:bCs/>
      </w:rPr>
    </w:tblStylePr>
    <w:tblStylePr w:type="lastCol">
      <w:rPr>
        <w:b/>
        <w:bCs/>
      </w:rPr>
    </w:tblStylePr>
    <w:tblStylePr w:type="band1Vert">
      <w:tblPr/>
      <w:tcPr>
        <w:shd w:val="clear" w:color="auto" w:fill="FAFAFA" w:themeFill="text1" w:themeFillTint="33"/>
      </w:tcPr>
    </w:tblStylePr>
    <w:tblStylePr w:type="band1Horz">
      <w:tblPr/>
      <w:tcPr>
        <w:shd w:val="clear" w:color="auto" w:fill="FAFAFA" w:themeFill="text1" w:themeFillTint="33"/>
      </w:tcPr>
    </w:tblStylePr>
  </w:style>
  <w:style w:type="character" w:customStyle="1" w:styleId="ListParagraphChar">
    <w:name w:val="List Paragraph Char"/>
    <w:basedOn w:val="DefaultParagraphFont"/>
    <w:link w:val="ListParagraph"/>
    <w:uiPriority w:val="34"/>
    <w:rsid w:val="000B3BC3"/>
    <w:rPr>
      <w:color w:val="404040" w:themeColor="text2"/>
      <w:sz w:val="20"/>
      <w:szCs w:val="20"/>
    </w:rPr>
  </w:style>
  <w:style w:type="paragraph" w:customStyle="1" w:styleId="TableHeading">
    <w:name w:val="Table Heading"/>
    <w:basedOn w:val="Normal"/>
    <w:qFormat/>
    <w:rsid w:val="002A0025"/>
    <w:pPr>
      <w:spacing w:before="60" w:after="60"/>
    </w:pPr>
    <w:rPr>
      <w:bCs/>
      <w:caps/>
      <w:color w:val="FFFFFF" w:themeColor="background1"/>
      <w:sz w:val="24"/>
      <w:szCs w:val="28"/>
    </w:rPr>
  </w:style>
  <w:style w:type="paragraph" w:customStyle="1" w:styleId="BioHeader">
    <w:name w:val="Bio Header"/>
    <w:basedOn w:val="Heading2"/>
    <w:next w:val="Normal"/>
    <w:qFormat/>
    <w:rsid w:val="00D115EB"/>
    <w:pPr>
      <w:spacing w:after="0"/>
      <w:outlineLvl w:val="9"/>
    </w:pPr>
    <w:rPr>
      <w:color w:val="ED1A3B" w:themeColor="accent1"/>
    </w:rPr>
  </w:style>
  <w:style w:type="paragraph" w:customStyle="1" w:styleId="AllcapsHeading4">
    <w:name w:val="All caps Heading 4"/>
    <w:basedOn w:val="Heading4"/>
    <w:qFormat/>
    <w:rsid w:val="00D115EB"/>
    <w:pPr>
      <w:spacing w:after="0"/>
      <w:outlineLvl w:val="9"/>
    </w:pPr>
    <w:rPr>
      <w:rFonts w:eastAsia="Times New Roman"/>
      <w:caps/>
    </w:rPr>
  </w:style>
  <w:style w:type="character" w:styleId="UnresolvedMention">
    <w:name w:val="Unresolved Mention"/>
    <w:basedOn w:val="DefaultParagraphFont"/>
    <w:uiPriority w:val="99"/>
    <w:semiHidden/>
    <w:unhideWhenUsed/>
    <w:rsid w:val="00D115EB"/>
    <w:rPr>
      <w:color w:val="605E5C"/>
      <w:shd w:val="clear" w:color="auto" w:fill="E1DFDD"/>
    </w:rPr>
  </w:style>
  <w:style w:type="paragraph" w:customStyle="1" w:styleId="BodyTextALLCAPS">
    <w:name w:val="Body_Text ALL CAPS"/>
    <w:basedOn w:val="AllcapsHeading4"/>
    <w:qFormat/>
    <w:rsid w:val="002A0025"/>
  </w:style>
  <w:style w:type="character" w:styleId="FootnoteReference">
    <w:name w:val="footnote reference"/>
    <w:basedOn w:val="DefaultParagraphFont"/>
    <w:uiPriority w:val="99"/>
    <w:semiHidden/>
    <w:unhideWhenUsed/>
    <w:rsid w:val="00310A71"/>
    <w:rPr>
      <w:vertAlign w:val="superscript"/>
    </w:rPr>
  </w:style>
  <w:style w:type="paragraph" w:styleId="Revision">
    <w:name w:val="Revision"/>
    <w:hidden/>
    <w:uiPriority w:val="99"/>
    <w:semiHidden/>
    <w:rsid w:val="00D27AF7"/>
    <w:pPr>
      <w:spacing w:after="0"/>
    </w:pPr>
    <w:rPr>
      <w:color w:val="404040"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9576">
      <w:bodyDiv w:val="1"/>
      <w:marLeft w:val="0"/>
      <w:marRight w:val="0"/>
      <w:marTop w:val="0"/>
      <w:marBottom w:val="0"/>
      <w:divBdr>
        <w:top w:val="none" w:sz="0" w:space="0" w:color="auto"/>
        <w:left w:val="none" w:sz="0" w:space="0" w:color="auto"/>
        <w:bottom w:val="none" w:sz="0" w:space="0" w:color="auto"/>
        <w:right w:val="none" w:sz="0" w:space="0" w:color="auto"/>
      </w:divBdr>
      <w:divsChild>
        <w:div w:id="167602439">
          <w:marLeft w:val="0"/>
          <w:marRight w:val="0"/>
          <w:marTop w:val="0"/>
          <w:marBottom w:val="0"/>
          <w:divBdr>
            <w:top w:val="none" w:sz="0" w:space="0" w:color="auto"/>
            <w:left w:val="none" w:sz="0" w:space="0" w:color="auto"/>
            <w:bottom w:val="none" w:sz="0" w:space="0" w:color="auto"/>
            <w:right w:val="none" w:sz="0" w:space="0" w:color="auto"/>
          </w:divBdr>
        </w:div>
        <w:div w:id="1461336616">
          <w:marLeft w:val="0"/>
          <w:marRight w:val="0"/>
          <w:marTop w:val="0"/>
          <w:marBottom w:val="0"/>
          <w:divBdr>
            <w:top w:val="none" w:sz="0" w:space="0" w:color="auto"/>
            <w:left w:val="none" w:sz="0" w:space="0" w:color="auto"/>
            <w:bottom w:val="none" w:sz="0" w:space="0" w:color="auto"/>
            <w:right w:val="none" w:sz="0" w:space="0" w:color="auto"/>
          </w:divBdr>
        </w:div>
        <w:div w:id="1008557459">
          <w:marLeft w:val="0"/>
          <w:marRight w:val="0"/>
          <w:marTop w:val="0"/>
          <w:marBottom w:val="0"/>
          <w:divBdr>
            <w:top w:val="none" w:sz="0" w:space="0" w:color="auto"/>
            <w:left w:val="none" w:sz="0" w:space="0" w:color="auto"/>
            <w:bottom w:val="none" w:sz="0" w:space="0" w:color="auto"/>
            <w:right w:val="none" w:sz="0" w:space="0" w:color="auto"/>
          </w:divBdr>
        </w:div>
        <w:div w:id="122776509">
          <w:marLeft w:val="0"/>
          <w:marRight w:val="0"/>
          <w:marTop w:val="0"/>
          <w:marBottom w:val="0"/>
          <w:divBdr>
            <w:top w:val="none" w:sz="0" w:space="0" w:color="auto"/>
            <w:left w:val="none" w:sz="0" w:space="0" w:color="auto"/>
            <w:bottom w:val="none" w:sz="0" w:space="0" w:color="auto"/>
            <w:right w:val="none" w:sz="0" w:space="0" w:color="auto"/>
          </w:divBdr>
        </w:div>
        <w:div w:id="480929509">
          <w:marLeft w:val="0"/>
          <w:marRight w:val="0"/>
          <w:marTop w:val="0"/>
          <w:marBottom w:val="0"/>
          <w:divBdr>
            <w:top w:val="none" w:sz="0" w:space="0" w:color="auto"/>
            <w:left w:val="none" w:sz="0" w:space="0" w:color="auto"/>
            <w:bottom w:val="none" w:sz="0" w:space="0" w:color="auto"/>
            <w:right w:val="none" w:sz="0" w:space="0" w:color="auto"/>
          </w:divBdr>
          <w:divsChild>
            <w:div w:id="1214806596">
              <w:marLeft w:val="-75"/>
              <w:marRight w:val="0"/>
              <w:marTop w:val="30"/>
              <w:marBottom w:val="30"/>
              <w:divBdr>
                <w:top w:val="none" w:sz="0" w:space="0" w:color="auto"/>
                <w:left w:val="none" w:sz="0" w:space="0" w:color="auto"/>
                <w:bottom w:val="none" w:sz="0" w:space="0" w:color="auto"/>
                <w:right w:val="none" w:sz="0" w:space="0" w:color="auto"/>
              </w:divBdr>
              <w:divsChild>
                <w:div w:id="199900760">
                  <w:marLeft w:val="0"/>
                  <w:marRight w:val="0"/>
                  <w:marTop w:val="0"/>
                  <w:marBottom w:val="0"/>
                  <w:divBdr>
                    <w:top w:val="none" w:sz="0" w:space="0" w:color="auto"/>
                    <w:left w:val="none" w:sz="0" w:space="0" w:color="auto"/>
                    <w:bottom w:val="none" w:sz="0" w:space="0" w:color="auto"/>
                    <w:right w:val="none" w:sz="0" w:space="0" w:color="auto"/>
                  </w:divBdr>
                  <w:divsChild>
                    <w:div w:id="1397512675">
                      <w:marLeft w:val="0"/>
                      <w:marRight w:val="0"/>
                      <w:marTop w:val="0"/>
                      <w:marBottom w:val="0"/>
                      <w:divBdr>
                        <w:top w:val="none" w:sz="0" w:space="0" w:color="auto"/>
                        <w:left w:val="none" w:sz="0" w:space="0" w:color="auto"/>
                        <w:bottom w:val="none" w:sz="0" w:space="0" w:color="auto"/>
                        <w:right w:val="none" w:sz="0" w:space="0" w:color="auto"/>
                      </w:divBdr>
                    </w:div>
                  </w:divsChild>
                </w:div>
                <w:div w:id="346249901">
                  <w:marLeft w:val="0"/>
                  <w:marRight w:val="0"/>
                  <w:marTop w:val="0"/>
                  <w:marBottom w:val="0"/>
                  <w:divBdr>
                    <w:top w:val="none" w:sz="0" w:space="0" w:color="auto"/>
                    <w:left w:val="none" w:sz="0" w:space="0" w:color="auto"/>
                    <w:bottom w:val="none" w:sz="0" w:space="0" w:color="auto"/>
                    <w:right w:val="none" w:sz="0" w:space="0" w:color="auto"/>
                  </w:divBdr>
                  <w:divsChild>
                    <w:div w:id="1461073374">
                      <w:marLeft w:val="0"/>
                      <w:marRight w:val="0"/>
                      <w:marTop w:val="0"/>
                      <w:marBottom w:val="0"/>
                      <w:divBdr>
                        <w:top w:val="none" w:sz="0" w:space="0" w:color="auto"/>
                        <w:left w:val="none" w:sz="0" w:space="0" w:color="auto"/>
                        <w:bottom w:val="none" w:sz="0" w:space="0" w:color="auto"/>
                        <w:right w:val="none" w:sz="0" w:space="0" w:color="auto"/>
                      </w:divBdr>
                    </w:div>
                  </w:divsChild>
                </w:div>
                <w:div w:id="678854524">
                  <w:marLeft w:val="0"/>
                  <w:marRight w:val="0"/>
                  <w:marTop w:val="0"/>
                  <w:marBottom w:val="0"/>
                  <w:divBdr>
                    <w:top w:val="none" w:sz="0" w:space="0" w:color="auto"/>
                    <w:left w:val="none" w:sz="0" w:space="0" w:color="auto"/>
                    <w:bottom w:val="none" w:sz="0" w:space="0" w:color="auto"/>
                    <w:right w:val="none" w:sz="0" w:space="0" w:color="auto"/>
                  </w:divBdr>
                  <w:divsChild>
                    <w:div w:id="1269316486">
                      <w:marLeft w:val="0"/>
                      <w:marRight w:val="0"/>
                      <w:marTop w:val="0"/>
                      <w:marBottom w:val="0"/>
                      <w:divBdr>
                        <w:top w:val="none" w:sz="0" w:space="0" w:color="auto"/>
                        <w:left w:val="none" w:sz="0" w:space="0" w:color="auto"/>
                        <w:bottom w:val="none" w:sz="0" w:space="0" w:color="auto"/>
                        <w:right w:val="none" w:sz="0" w:space="0" w:color="auto"/>
                      </w:divBdr>
                    </w:div>
                  </w:divsChild>
                </w:div>
                <w:div w:id="652759872">
                  <w:marLeft w:val="0"/>
                  <w:marRight w:val="0"/>
                  <w:marTop w:val="0"/>
                  <w:marBottom w:val="0"/>
                  <w:divBdr>
                    <w:top w:val="none" w:sz="0" w:space="0" w:color="auto"/>
                    <w:left w:val="none" w:sz="0" w:space="0" w:color="auto"/>
                    <w:bottom w:val="none" w:sz="0" w:space="0" w:color="auto"/>
                    <w:right w:val="none" w:sz="0" w:space="0" w:color="auto"/>
                  </w:divBdr>
                  <w:divsChild>
                    <w:div w:id="1544361363">
                      <w:marLeft w:val="0"/>
                      <w:marRight w:val="0"/>
                      <w:marTop w:val="0"/>
                      <w:marBottom w:val="0"/>
                      <w:divBdr>
                        <w:top w:val="none" w:sz="0" w:space="0" w:color="auto"/>
                        <w:left w:val="none" w:sz="0" w:space="0" w:color="auto"/>
                        <w:bottom w:val="none" w:sz="0" w:space="0" w:color="auto"/>
                        <w:right w:val="none" w:sz="0" w:space="0" w:color="auto"/>
                      </w:divBdr>
                    </w:div>
                  </w:divsChild>
                </w:div>
                <w:div w:id="1498036143">
                  <w:marLeft w:val="0"/>
                  <w:marRight w:val="0"/>
                  <w:marTop w:val="0"/>
                  <w:marBottom w:val="0"/>
                  <w:divBdr>
                    <w:top w:val="none" w:sz="0" w:space="0" w:color="auto"/>
                    <w:left w:val="none" w:sz="0" w:space="0" w:color="auto"/>
                    <w:bottom w:val="none" w:sz="0" w:space="0" w:color="auto"/>
                    <w:right w:val="none" w:sz="0" w:space="0" w:color="auto"/>
                  </w:divBdr>
                  <w:divsChild>
                    <w:div w:id="1566180598">
                      <w:marLeft w:val="0"/>
                      <w:marRight w:val="0"/>
                      <w:marTop w:val="0"/>
                      <w:marBottom w:val="0"/>
                      <w:divBdr>
                        <w:top w:val="none" w:sz="0" w:space="0" w:color="auto"/>
                        <w:left w:val="none" w:sz="0" w:space="0" w:color="auto"/>
                        <w:bottom w:val="none" w:sz="0" w:space="0" w:color="auto"/>
                        <w:right w:val="none" w:sz="0" w:space="0" w:color="auto"/>
                      </w:divBdr>
                    </w:div>
                  </w:divsChild>
                </w:div>
                <w:div w:id="1711420860">
                  <w:marLeft w:val="0"/>
                  <w:marRight w:val="0"/>
                  <w:marTop w:val="0"/>
                  <w:marBottom w:val="0"/>
                  <w:divBdr>
                    <w:top w:val="none" w:sz="0" w:space="0" w:color="auto"/>
                    <w:left w:val="none" w:sz="0" w:space="0" w:color="auto"/>
                    <w:bottom w:val="none" w:sz="0" w:space="0" w:color="auto"/>
                    <w:right w:val="none" w:sz="0" w:space="0" w:color="auto"/>
                  </w:divBdr>
                  <w:divsChild>
                    <w:div w:id="1170871126">
                      <w:marLeft w:val="0"/>
                      <w:marRight w:val="0"/>
                      <w:marTop w:val="0"/>
                      <w:marBottom w:val="0"/>
                      <w:divBdr>
                        <w:top w:val="none" w:sz="0" w:space="0" w:color="auto"/>
                        <w:left w:val="none" w:sz="0" w:space="0" w:color="auto"/>
                        <w:bottom w:val="none" w:sz="0" w:space="0" w:color="auto"/>
                        <w:right w:val="none" w:sz="0" w:space="0" w:color="auto"/>
                      </w:divBdr>
                    </w:div>
                  </w:divsChild>
                </w:div>
                <w:div w:id="1735157246">
                  <w:marLeft w:val="0"/>
                  <w:marRight w:val="0"/>
                  <w:marTop w:val="0"/>
                  <w:marBottom w:val="0"/>
                  <w:divBdr>
                    <w:top w:val="none" w:sz="0" w:space="0" w:color="auto"/>
                    <w:left w:val="none" w:sz="0" w:space="0" w:color="auto"/>
                    <w:bottom w:val="none" w:sz="0" w:space="0" w:color="auto"/>
                    <w:right w:val="none" w:sz="0" w:space="0" w:color="auto"/>
                  </w:divBdr>
                  <w:divsChild>
                    <w:div w:id="1967811694">
                      <w:marLeft w:val="0"/>
                      <w:marRight w:val="0"/>
                      <w:marTop w:val="0"/>
                      <w:marBottom w:val="0"/>
                      <w:divBdr>
                        <w:top w:val="none" w:sz="0" w:space="0" w:color="auto"/>
                        <w:left w:val="none" w:sz="0" w:space="0" w:color="auto"/>
                        <w:bottom w:val="none" w:sz="0" w:space="0" w:color="auto"/>
                        <w:right w:val="none" w:sz="0" w:space="0" w:color="auto"/>
                      </w:divBdr>
                    </w:div>
                  </w:divsChild>
                </w:div>
                <w:div w:id="1938251625">
                  <w:marLeft w:val="0"/>
                  <w:marRight w:val="0"/>
                  <w:marTop w:val="0"/>
                  <w:marBottom w:val="0"/>
                  <w:divBdr>
                    <w:top w:val="none" w:sz="0" w:space="0" w:color="auto"/>
                    <w:left w:val="none" w:sz="0" w:space="0" w:color="auto"/>
                    <w:bottom w:val="none" w:sz="0" w:space="0" w:color="auto"/>
                    <w:right w:val="none" w:sz="0" w:space="0" w:color="auto"/>
                  </w:divBdr>
                  <w:divsChild>
                    <w:div w:id="1610819613">
                      <w:marLeft w:val="0"/>
                      <w:marRight w:val="0"/>
                      <w:marTop w:val="0"/>
                      <w:marBottom w:val="0"/>
                      <w:divBdr>
                        <w:top w:val="none" w:sz="0" w:space="0" w:color="auto"/>
                        <w:left w:val="none" w:sz="0" w:space="0" w:color="auto"/>
                        <w:bottom w:val="none" w:sz="0" w:space="0" w:color="auto"/>
                        <w:right w:val="none" w:sz="0" w:space="0" w:color="auto"/>
                      </w:divBdr>
                    </w:div>
                  </w:divsChild>
                </w:div>
                <w:div w:id="395476730">
                  <w:marLeft w:val="0"/>
                  <w:marRight w:val="0"/>
                  <w:marTop w:val="0"/>
                  <w:marBottom w:val="0"/>
                  <w:divBdr>
                    <w:top w:val="none" w:sz="0" w:space="0" w:color="auto"/>
                    <w:left w:val="none" w:sz="0" w:space="0" w:color="auto"/>
                    <w:bottom w:val="none" w:sz="0" w:space="0" w:color="auto"/>
                    <w:right w:val="none" w:sz="0" w:space="0" w:color="auto"/>
                  </w:divBdr>
                  <w:divsChild>
                    <w:div w:id="1662849162">
                      <w:marLeft w:val="0"/>
                      <w:marRight w:val="0"/>
                      <w:marTop w:val="0"/>
                      <w:marBottom w:val="0"/>
                      <w:divBdr>
                        <w:top w:val="none" w:sz="0" w:space="0" w:color="auto"/>
                        <w:left w:val="none" w:sz="0" w:space="0" w:color="auto"/>
                        <w:bottom w:val="none" w:sz="0" w:space="0" w:color="auto"/>
                        <w:right w:val="none" w:sz="0" w:space="0" w:color="auto"/>
                      </w:divBdr>
                    </w:div>
                  </w:divsChild>
                </w:div>
                <w:div w:id="1352148874">
                  <w:marLeft w:val="0"/>
                  <w:marRight w:val="0"/>
                  <w:marTop w:val="0"/>
                  <w:marBottom w:val="0"/>
                  <w:divBdr>
                    <w:top w:val="none" w:sz="0" w:space="0" w:color="auto"/>
                    <w:left w:val="none" w:sz="0" w:space="0" w:color="auto"/>
                    <w:bottom w:val="none" w:sz="0" w:space="0" w:color="auto"/>
                    <w:right w:val="none" w:sz="0" w:space="0" w:color="auto"/>
                  </w:divBdr>
                  <w:divsChild>
                    <w:div w:id="2056157508">
                      <w:marLeft w:val="0"/>
                      <w:marRight w:val="0"/>
                      <w:marTop w:val="0"/>
                      <w:marBottom w:val="0"/>
                      <w:divBdr>
                        <w:top w:val="none" w:sz="0" w:space="0" w:color="auto"/>
                        <w:left w:val="none" w:sz="0" w:space="0" w:color="auto"/>
                        <w:bottom w:val="none" w:sz="0" w:space="0" w:color="auto"/>
                        <w:right w:val="none" w:sz="0" w:space="0" w:color="auto"/>
                      </w:divBdr>
                    </w:div>
                  </w:divsChild>
                </w:div>
                <w:div w:id="1197498025">
                  <w:marLeft w:val="0"/>
                  <w:marRight w:val="0"/>
                  <w:marTop w:val="0"/>
                  <w:marBottom w:val="0"/>
                  <w:divBdr>
                    <w:top w:val="none" w:sz="0" w:space="0" w:color="auto"/>
                    <w:left w:val="none" w:sz="0" w:space="0" w:color="auto"/>
                    <w:bottom w:val="none" w:sz="0" w:space="0" w:color="auto"/>
                    <w:right w:val="none" w:sz="0" w:space="0" w:color="auto"/>
                  </w:divBdr>
                  <w:divsChild>
                    <w:div w:id="2145805097">
                      <w:marLeft w:val="0"/>
                      <w:marRight w:val="0"/>
                      <w:marTop w:val="0"/>
                      <w:marBottom w:val="0"/>
                      <w:divBdr>
                        <w:top w:val="none" w:sz="0" w:space="0" w:color="auto"/>
                        <w:left w:val="none" w:sz="0" w:space="0" w:color="auto"/>
                        <w:bottom w:val="none" w:sz="0" w:space="0" w:color="auto"/>
                        <w:right w:val="none" w:sz="0" w:space="0" w:color="auto"/>
                      </w:divBdr>
                    </w:div>
                  </w:divsChild>
                </w:div>
                <w:div w:id="2038575282">
                  <w:marLeft w:val="0"/>
                  <w:marRight w:val="0"/>
                  <w:marTop w:val="0"/>
                  <w:marBottom w:val="0"/>
                  <w:divBdr>
                    <w:top w:val="none" w:sz="0" w:space="0" w:color="auto"/>
                    <w:left w:val="none" w:sz="0" w:space="0" w:color="auto"/>
                    <w:bottom w:val="none" w:sz="0" w:space="0" w:color="auto"/>
                    <w:right w:val="none" w:sz="0" w:space="0" w:color="auto"/>
                  </w:divBdr>
                  <w:divsChild>
                    <w:div w:id="245654461">
                      <w:marLeft w:val="0"/>
                      <w:marRight w:val="0"/>
                      <w:marTop w:val="0"/>
                      <w:marBottom w:val="0"/>
                      <w:divBdr>
                        <w:top w:val="none" w:sz="0" w:space="0" w:color="auto"/>
                        <w:left w:val="none" w:sz="0" w:space="0" w:color="auto"/>
                        <w:bottom w:val="none" w:sz="0" w:space="0" w:color="auto"/>
                        <w:right w:val="none" w:sz="0" w:space="0" w:color="auto"/>
                      </w:divBdr>
                    </w:div>
                  </w:divsChild>
                </w:div>
                <w:div w:id="375396366">
                  <w:marLeft w:val="0"/>
                  <w:marRight w:val="0"/>
                  <w:marTop w:val="0"/>
                  <w:marBottom w:val="0"/>
                  <w:divBdr>
                    <w:top w:val="none" w:sz="0" w:space="0" w:color="auto"/>
                    <w:left w:val="none" w:sz="0" w:space="0" w:color="auto"/>
                    <w:bottom w:val="none" w:sz="0" w:space="0" w:color="auto"/>
                    <w:right w:val="none" w:sz="0" w:space="0" w:color="auto"/>
                  </w:divBdr>
                  <w:divsChild>
                    <w:div w:id="9220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351419">
          <w:marLeft w:val="0"/>
          <w:marRight w:val="0"/>
          <w:marTop w:val="0"/>
          <w:marBottom w:val="0"/>
          <w:divBdr>
            <w:top w:val="none" w:sz="0" w:space="0" w:color="auto"/>
            <w:left w:val="none" w:sz="0" w:space="0" w:color="auto"/>
            <w:bottom w:val="none" w:sz="0" w:space="0" w:color="auto"/>
            <w:right w:val="none" w:sz="0" w:space="0" w:color="auto"/>
          </w:divBdr>
        </w:div>
      </w:divsChild>
    </w:div>
    <w:div w:id="151262088">
      <w:bodyDiv w:val="1"/>
      <w:marLeft w:val="0"/>
      <w:marRight w:val="0"/>
      <w:marTop w:val="0"/>
      <w:marBottom w:val="0"/>
      <w:divBdr>
        <w:top w:val="none" w:sz="0" w:space="0" w:color="auto"/>
        <w:left w:val="none" w:sz="0" w:space="0" w:color="auto"/>
        <w:bottom w:val="none" w:sz="0" w:space="0" w:color="auto"/>
        <w:right w:val="none" w:sz="0" w:space="0" w:color="auto"/>
      </w:divBdr>
    </w:div>
    <w:div w:id="270818955">
      <w:bodyDiv w:val="1"/>
      <w:marLeft w:val="0"/>
      <w:marRight w:val="0"/>
      <w:marTop w:val="0"/>
      <w:marBottom w:val="0"/>
      <w:divBdr>
        <w:top w:val="none" w:sz="0" w:space="0" w:color="auto"/>
        <w:left w:val="none" w:sz="0" w:space="0" w:color="auto"/>
        <w:bottom w:val="none" w:sz="0" w:space="0" w:color="auto"/>
        <w:right w:val="none" w:sz="0" w:space="0" w:color="auto"/>
      </w:divBdr>
    </w:div>
    <w:div w:id="297997147">
      <w:bodyDiv w:val="1"/>
      <w:marLeft w:val="0"/>
      <w:marRight w:val="0"/>
      <w:marTop w:val="0"/>
      <w:marBottom w:val="0"/>
      <w:divBdr>
        <w:top w:val="none" w:sz="0" w:space="0" w:color="auto"/>
        <w:left w:val="none" w:sz="0" w:space="0" w:color="auto"/>
        <w:bottom w:val="none" w:sz="0" w:space="0" w:color="auto"/>
        <w:right w:val="none" w:sz="0" w:space="0" w:color="auto"/>
      </w:divBdr>
      <w:divsChild>
        <w:div w:id="479614539">
          <w:marLeft w:val="0"/>
          <w:marRight w:val="0"/>
          <w:marTop w:val="0"/>
          <w:marBottom w:val="0"/>
          <w:divBdr>
            <w:top w:val="none" w:sz="0" w:space="0" w:color="auto"/>
            <w:left w:val="none" w:sz="0" w:space="0" w:color="auto"/>
            <w:bottom w:val="none" w:sz="0" w:space="0" w:color="auto"/>
            <w:right w:val="none" w:sz="0" w:space="0" w:color="auto"/>
          </w:divBdr>
        </w:div>
        <w:div w:id="518277179">
          <w:marLeft w:val="0"/>
          <w:marRight w:val="0"/>
          <w:marTop w:val="0"/>
          <w:marBottom w:val="0"/>
          <w:divBdr>
            <w:top w:val="none" w:sz="0" w:space="0" w:color="auto"/>
            <w:left w:val="none" w:sz="0" w:space="0" w:color="auto"/>
            <w:bottom w:val="none" w:sz="0" w:space="0" w:color="auto"/>
            <w:right w:val="none" w:sz="0" w:space="0" w:color="auto"/>
          </w:divBdr>
        </w:div>
      </w:divsChild>
    </w:div>
    <w:div w:id="358354077">
      <w:bodyDiv w:val="1"/>
      <w:marLeft w:val="0"/>
      <w:marRight w:val="0"/>
      <w:marTop w:val="0"/>
      <w:marBottom w:val="0"/>
      <w:divBdr>
        <w:top w:val="none" w:sz="0" w:space="0" w:color="auto"/>
        <w:left w:val="none" w:sz="0" w:space="0" w:color="auto"/>
        <w:bottom w:val="none" w:sz="0" w:space="0" w:color="auto"/>
        <w:right w:val="none" w:sz="0" w:space="0" w:color="auto"/>
      </w:divBdr>
    </w:div>
    <w:div w:id="530144021">
      <w:bodyDiv w:val="1"/>
      <w:marLeft w:val="0"/>
      <w:marRight w:val="0"/>
      <w:marTop w:val="0"/>
      <w:marBottom w:val="0"/>
      <w:divBdr>
        <w:top w:val="none" w:sz="0" w:space="0" w:color="auto"/>
        <w:left w:val="none" w:sz="0" w:space="0" w:color="auto"/>
        <w:bottom w:val="none" w:sz="0" w:space="0" w:color="auto"/>
        <w:right w:val="none" w:sz="0" w:space="0" w:color="auto"/>
      </w:divBdr>
    </w:div>
    <w:div w:id="550118810">
      <w:bodyDiv w:val="1"/>
      <w:marLeft w:val="0"/>
      <w:marRight w:val="0"/>
      <w:marTop w:val="0"/>
      <w:marBottom w:val="0"/>
      <w:divBdr>
        <w:top w:val="none" w:sz="0" w:space="0" w:color="auto"/>
        <w:left w:val="none" w:sz="0" w:space="0" w:color="auto"/>
        <w:bottom w:val="none" w:sz="0" w:space="0" w:color="auto"/>
        <w:right w:val="none" w:sz="0" w:space="0" w:color="auto"/>
      </w:divBdr>
    </w:div>
    <w:div w:id="816845960">
      <w:bodyDiv w:val="1"/>
      <w:marLeft w:val="0"/>
      <w:marRight w:val="0"/>
      <w:marTop w:val="0"/>
      <w:marBottom w:val="0"/>
      <w:divBdr>
        <w:top w:val="none" w:sz="0" w:space="0" w:color="auto"/>
        <w:left w:val="none" w:sz="0" w:space="0" w:color="auto"/>
        <w:bottom w:val="none" w:sz="0" w:space="0" w:color="auto"/>
        <w:right w:val="none" w:sz="0" w:space="0" w:color="auto"/>
      </w:divBdr>
    </w:div>
    <w:div w:id="889459173">
      <w:bodyDiv w:val="1"/>
      <w:marLeft w:val="0"/>
      <w:marRight w:val="0"/>
      <w:marTop w:val="0"/>
      <w:marBottom w:val="0"/>
      <w:divBdr>
        <w:top w:val="none" w:sz="0" w:space="0" w:color="auto"/>
        <w:left w:val="none" w:sz="0" w:space="0" w:color="auto"/>
        <w:bottom w:val="none" w:sz="0" w:space="0" w:color="auto"/>
        <w:right w:val="none" w:sz="0" w:space="0" w:color="auto"/>
      </w:divBdr>
    </w:div>
    <w:div w:id="1043480158">
      <w:bodyDiv w:val="1"/>
      <w:marLeft w:val="0"/>
      <w:marRight w:val="0"/>
      <w:marTop w:val="0"/>
      <w:marBottom w:val="0"/>
      <w:divBdr>
        <w:top w:val="none" w:sz="0" w:space="0" w:color="auto"/>
        <w:left w:val="none" w:sz="0" w:space="0" w:color="auto"/>
        <w:bottom w:val="none" w:sz="0" w:space="0" w:color="auto"/>
        <w:right w:val="none" w:sz="0" w:space="0" w:color="auto"/>
      </w:divBdr>
    </w:div>
    <w:div w:id="1180044074">
      <w:bodyDiv w:val="1"/>
      <w:marLeft w:val="0"/>
      <w:marRight w:val="0"/>
      <w:marTop w:val="0"/>
      <w:marBottom w:val="0"/>
      <w:divBdr>
        <w:top w:val="none" w:sz="0" w:space="0" w:color="auto"/>
        <w:left w:val="none" w:sz="0" w:space="0" w:color="auto"/>
        <w:bottom w:val="none" w:sz="0" w:space="0" w:color="auto"/>
        <w:right w:val="none" w:sz="0" w:space="0" w:color="auto"/>
      </w:divBdr>
    </w:div>
    <w:div w:id="1307931035">
      <w:bodyDiv w:val="1"/>
      <w:marLeft w:val="0"/>
      <w:marRight w:val="0"/>
      <w:marTop w:val="0"/>
      <w:marBottom w:val="0"/>
      <w:divBdr>
        <w:top w:val="none" w:sz="0" w:space="0" w:color="auto"/>
        <w:left w:val="none" w:sz="0" w:space="0" w:color="auto"/>
        <w:bottom w:val="none" w:sz="0" w:space="0" w:color="auto"/>
        <w:right w:val="none" w:sz="0" w:space="0" w:color="auto"/>
      </w:divBdr>
      <w:divsChild>
        <w:div w:id="303854770">
          <w:marLeft w:val="0"/>
          <w:marRight w:val="0"/>
          <w:marTop w:val="0"/>
          <w:marBottom w:val="0"/>
          <w:divBdr>
            <w:top w:val="none" w:sz="0" w:space="0" w:color="auto"/>
            <w:left w:val="none" w:sz="0" w:space="0" w:color="auto"/>
            <w:bottom w:val="none" w:sz="0" w:space="0" w:color="auto"/>
            <w:right w:val="none" w:sz="0" w:space="0" w:color="auto"/>
          </w:divBdr>
        </w:div>
        <w:div w:id="2123761371">
          <w:marLeft w:val="0"/>
          <w:marRight w:val="0"/>
          <w:marTop w:val="0"/>
          <w:marBottom w:val="0"/>
          <w:divBdr>
            <w:top w:val="none" w:sz="0" w:space="0" w:color="auto"/>
            <w:left w:val="none" w:sz="0" w:space="0" w:color="auto"/>
            <w:bottom w:val="none" w:sz="0" w:space="0" w:color="auto"/>
            <w:right w:val="none" w:sz="0" w:space="0" w:color="auto"/>
          </w:divBdr>
        </w:div>
        <w:div w:id="450586832">
          <w:marLeft w:val="0"/>
          <w:marRight w:val="0"/>
          <w:marTop w:val="0"/>
          <w:marBottom w:val="0"/>
          <w:divBdr>
            <w:top w:val="none" w:sz="0" w:space="0" w:color="auto"/>
            <w:left w:val="none" w:sz="0" w:space="0" w:color="auto"/>
            <w:bottom w:val="none" w:sz="0" w:space="0" w:color="auto"/>
            <w:right w:val="none" w:sz="0" w:space="0" w:color="auto"/>
          </w:divBdr>
        </w:div>
        <w:div w:id="512889061">
          <w:marLeft w:val="0"/>
          <w:marRight w:val="0"/>
          <w:marTop w:val="0"/>
          <w:marBottom w:val="0"/>
          <w:divBdr>
            <w:top w:val="none" w:sz="0" w:space="0" w:color="auto"/>
            <w:left w:val="none" w:sz="0" w:space="0" w:color="auto"/>
            <w:bottom w:val="none" w:sz="0" w:space="0" w:color="auto"/>
            <w:right w:val="none" w:sz="0" w:space="0" w:color="auto"/>
          </w:divBdr>
        </w:div>
        <w:div w:id="731541250">
          <w:marLeft w:val="0"/>
          <w:marRight w:val="0"/>
          <w:marTop w:val="0"/>
          <w:marBottom w:val="0"/>
          <w:divBdr>
            <w:top w:val="none" w:sz="0" w:space="0" w:color="auto"/>
            <w:left w:val="none" w:sz="0" w:space="0" w:color="auto"/>
            <w:bottom w:val="none" w:sz="0" w:space="0" w:color="auto"/>
            <w:right w:val="none" w:sz="0" w:space="0" w:color="auto"/>
          </w:divBdr>
        </w:div>
        <w:div w:id="1222710859">
          <w:marLeft w:val="0"/>
          <w:marRight w:val="0"/>
          <w:marTop w:val="0"/>
          <w:marBottom w:val="0"/>
          <w:divBdr>
            <w:top w:val="none" w:sz="0" w:space="0" w:color="auto"/>
            <w:left w:val="none" w:sz="0" w:space="0" w:color="auto"/>
            <w:bottom w:val="none" w:sz="0" w:space="0" w:color="auto"/>
            <w:right w:val="none" w:sz="0" w:space="0" w:color="auto"/>
          </w:divBdr>
        </w:div>
      </w:divsChild>
    </w:div>
    <w:div w:id="1471635155">
      <w:bodyDiv w:val="1"/>
      <w:marLeft w:val="0"/>
      <w:marRight w:val="0"/>
      <w:marTop w:val="0"/>
      <w:marBottom w:val="0"/>
      <w:divBdr>
        <w:top w:val="none" w:sz="0" w:space="0" w:color="auto"/>
        <w:left w:val="none" w:sz="0" w:space="0" w:color="auto"/>
        <w:bottom w:val="none" w:sz="0" w:space="0" w:color="auto"/>
        <w:right w:val="none" w:sz="0" w:space="0" w:color="auto"/>
      </w:divBdr>
      <w:divsChild>
        <w:div w:id="1541210120">
          <w:marLeft w:val="547"/>
          <w:marRight w:val="0"/>
          <w:marTop w:val="120"/>
          <w:marBottom w:val="120"/>
          <w:divBdr>
            <w:top w:val="none" w:sz="0" w:space="0" w:color="auto"/>
            <w:left w:val="none" w:sz="0" w:space="0" w:color="auto"/>
            <w:bottom w:val="none" w:sz="0" w:space="0" w:color="auto"/>
            <w:right w:val="none" w:sz="0" w:space="0" w:color="auto"/>
          </w:divBdr>
        </w:div>
        <w:div w:id="1058745380">
          <w:marLeft w:val="547"/>
          <w:marRight w:val="0"/>
          <w:marTop w:val="120"/>
          <w:marBottom w:val="120"/>
          <w:divBdr>
            <w:top w:val="none" w:sz="0" w:space="0" w:color="auto"/>
            <w:left w:val="none" w:sz="0" w:space="0" w:color="auto"/>
            <w:bottom w:val="none" w:sz="0" w:space="0" w:color="auto"/>
            <w:right w:val="none" w:sz="0" w:space="0" w:color="auto"/>
          </w:divBdr>
        </w:div>
        <w:div w:id="1610118146">
          <w:marLeft w:val="547"/>
          <w:marRight w:val="0"/>
          <w:marTop w:val="120"/>
          <w:marBottom w:val="120"/>
          <w:divBdr>
            <w:top w:val="none" w:sz="0" w:space="0" w:color="auto"/>
            <w:left w:val="none" w:sz="0" w:space="0" w:color="auto"/>
            <w:bottom w:val="none" w:sz="0" w:space="0" w:color="auto"/>
            <w:right w:val="none" w:sz="0" w:space="0" w:color="auto"/>
          </w:divBdr>
        </w:div>
        <w:div w:id="1727874239">
          <w:marLeft w:val="547"/>
          <w:marRight w:val="0"/>
          <w:marTop w:val="120"/>
          <w:marBottom w:val="120"/>
          <w:divBdr>
            <w:top w:val="none" w:sz="0" w:space="0" w:color="auto"/>
            <w:left w:val="none" w:sz="0" w:space="0" w:color="auto"/>
            <w:bottom w:val="none" w:sz="0" w:space="0" w:color="auto"/>
            <w:right w:val="none" w:sz="0" w:space="0" w:color="auto"/>
          </w:divBdr>
        </w:div>
        <w:div w:id="816454455">
          <w:marLeft w:val="547"/>
          <w:marRight w:val="0"/>
          <w:marTop w:val="120"/>
          <w:marBottom w:val="120"/>
          <w:divBdr>
            <w:top w:val="none" w:sz="0" w:space="0" w:color="auto"/>
            <w:left w:val="none" w:sz="0" w:space="0" w:color="auto"/>
            <w:bottom w:val="none" w:sz="0" w:space="0" w:color="auto"/>
            <w:right w:val="none" w:sz="0" w:space="0" w:color="auto"/>
          </w:divBdr>
        </w:div>
        <w:div w:id="40908432">
          <w:marLeft w:val="547"/>
          <w:marRight w:val="0"/>
          <w:marTop w:val="120"/>
          <w:marBottom w:val="120"/>
          <w:divBdr>
            <w:top w:val="none" w:sz="0" w:space="0" w:color="auto"/>
            <w:left w:val="none" w:sz="0" w:space="0" w:color="auto"/>
            <w:bottom w:val="none" w:sz="0" w:space="0" w:color="auto"/>
            <w:right w:val="none" w:sz="0" w:space="0" w:color="auto"/>
          </w:divBdr>
        </w:div>
      </w:divsChild>
    </w:div>
    <w:div w:id="1507481476">
      <w:bodyDiv w:val="1"/>
      <w:marLeft w:val="0"/>
      <w:marRight w:val="0"/>
      <w:marTop w:val="0"/>
      <w:marBottom w:val="0"/>
      <w:divBdr>
        <w:top w:val="none" w:sz="0" w:space="0" w:color="auto"/>
        <w:left w:val="none" w:sz="0" w:space="0" w:color="auto"/>
        <w:bottom w:val="none" w:sz="0" w:space="0" w:color="auto"/>
        <w:right w:val="none" w:sz="0" w:space="0" w:color="auto"/>
      </w:divBdr>
    </w:div>
    <w:div w:id="1685857762">
      <w:bodyDiv w:val="1"/>
      <w:marLeft w:val="0"/>
      <w:marRight w:val="0"/>
      <w:marTop w:val="0"/>
      <w:marBottom w:val="0"/>
      <w:divBdr>
        <w:top w:val="none" w:sz="0" w:space="0" w:color="auto"/>
        <w:left w:val="none" w:sz="0" w:space="0" w:color="auto"/>
        <w:bottom w:val="none" w:sz="0" w:space="0" w:color="auto"/>
        <w:right w:val="none" w:sz="0" w:space="0" w:color="auto"/>
      </w:divBdr>
    </w:div>
    <w:div w:id="1706782954">
      <w:bodyDiv w:val="1"/>
      <w:marLeft w:val="0"/>
      <w:marRight w:val="0"/>
      <w:marTop w:val="0"/>
      <w:marBottom w:val="0"/>
      <w:divBdr>
        <w:top w:val="none" w:sz="0" w:space="0" w:color="auto"/>
        <w:left w:val="none" w:sz="0" w:space="0" w:color="auto"/>
        <w:bottom w:val="none" w:sz="0" w:space="0" w:color="auto"/>
        <w:right w:val="none" w:sz="0" w:space="0" w:color="auto"/>
      </w:divBdr>
    </w:div>
    <w:div w:id="1720861115">
      <w:bodyDiv w:val="1"/>
      <w:marLeft w:val="0"/>
      <w:marRight w:val="0"/>
      <w:marTop w:val="0"/>
      <w:marBottom w:val="0"/>
      <w:divBdr>
        <w:top w:val="none" w:sz="0" w:space="0" w:color="auto"/>
        <w:left w:val="none" w:sz="0" w:space="0" w:color="auto"/>
        <w:bottom w:val="none" w:sz="0" w:space="0" w:color="auto"/>
        <w:right w:val="none" w:sz="0" w:space="0" w:color="auto"/>
      </w:divBdr>
    </w:div>
    <w:div w:id="1751153335">
      <w:bodyDiv w:val="1"/>
      <w:marLeft w:val="0"/>
      <w:marRight w:val="0"/>
      <w:marTop w:val="0"/>
      <w:marBottom w:val="0"/>
      <w:divBdr>
        <w:top w:val="none" w:sz="0" w:space="0" w:color="auto"/>
        <w:left w:val="none" w:sz="0" w:space="0" w:color="auto"/>
        <w:bottom w:val="none" w:sz="0" w:space="0" w:color="auto"/>
        <w:right w:val="none" w:sz="0" w:space="0" w:color="auto"/>
      </w:divBdr>
    </w:div>
    <w:div w:id="1895576969">
      <w:bodyDiv w:val="1"/>
      <w:marLeft w:val="0"/>
      <w:marRight w:val="0"/>
      <w:marTop w:val="0"/>
      <w:marBottom w:val="0"/>
      <w:divBdr>
        <w:top w:val="none" w:sz="0" w:space="0" w:color="auto"/>
        <w:left w:val="none" w:sz="0" w:space="0" w:color="auto"/>
        <w:bottom w:val="none" w:sz="0" w:space="0" w:color="auto"/>
        <w:right w:val="none" w:sz="0" w:space="0" w:color="auto"/>
      </w:divBdr>
    </w:div>
    <w:div w:id="1921478232">
      <w:bodyDiv w:val="1"/>
      <w:marLeft w:val="0"/>
      <w:marRight w:val="0"/>
      <w:marTop w:val="0"/>
      <w:marBottom w:val="0"/>
      <w:divBdr>
        <w:top w:val="none" w:sz="0" w:space="0" w:color="auto"/>
        <w:left w:val="none" w:sz="0" w:space="0" w:color="auto"/>
        <w:bottom w:val="none" w:sz="0" w:space="0" w:color="auto"/>
        <w:right w:val="none" w:sz="0" w:space="0" w:color="auto"/>
      </w:divBdr>
    </w:div>
    <w:div w:id="1944219534">
      <w:bodyDiv w:val="1"/>
      <w:marLeft w:val="0"/>
      <w:marRight w:val="0"/>
      <w:marTop w:val="0"/>
      <w:marBottom w:val="0"/>
      <w:divBdr>
        <w:top w:val="none" w:sz="0" w:space="0" w:color="auto"/>
        <w:left w:val="none" w:sz="0" w:space="0" w:color="auto"/>
        <w:bottom w:val="none" w:sz="0" w:space="0" w:color="auto"/>
        <w:right w:val="none" w:sz="0" w:space="0" w:color="auto"/>
      </w:divBdr>
    </w:div>
    <w:div w:id="2047412132">
      <w:bodyDiv w:val="1"/>
      <w:marLeft w:val="0"/>
      <w:marRight w:val="0"/>
      <w:marTop w:val="0"/>
      <w:marBottom w:val="0"/>
      <w:divBdr>
        <w:top w:val="none" w:sz="0" w:space="0" w:color="auto"/>
        <w:left w:val="none" w:sz="0" w:space="0" w:color="auto"/>
        <w:bottom w:val="none" w:sz="0" w:space="0" w:color="auto"/>
        <w:right w:val="none" w:sz="0" w:space="0" w:color="auto"/>
      </w:divBdr>
    </w:div>
    <w:div w:id="207711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DO CVI-NEW">
  <a:themeElements>
    <a:clrScheme name="BDO Colors - 2017">
      <a:dk1>
        <a:srgbClr val="E7E7E7"/>
      </a:dk1>
      <a:lt1>
        <a:srgbClr val="FFFFFF"/>
      </a:lt1>
      <a:dk2>
        <a:srgbClr val="404040"/>
      </a:dk2>
      <a:lt2>
        <a:srgbClr val="98002E"/>
      </a:lt2>
      <a:accent1>
        <a:srgbClr val="ED1A3B"/>
      </a:accent1>
      <a:accent2>
        <a:srgbClr val="02A5E2"/>
      </a:accent2>
      <a:accent3>
        <a:srgbClr val="DF8639"/>
      </a:accent3>
      <a:accent4>
        <a:srgbClr val="218F8B"/>
      </a:accent4>
      <a:accent5>
        <a:srgbClr val="98002E"/>
      </a:accent5>
      <a:accent6>
        <a:srgbClr val="657C91"/>
      </a:accent6>
      <a:hlink>
        <a:srgbClr val="02A5E2"/>
      </a:hlink>
      <a:folHlink>
        <a:srgbClr val="02A5E2"/>
      </a:folHlink>
    </a:clrScheme>
    <a:fontScheme name="Default Design">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lIns="0" tIns="0" rIns="0" bIns="0">
        <a:spAutoFit/>
      </a:bodyPr>
      <a:lstStyle>
        <a:defPPr algn="l">
          <a:spcBef>
            <a:spcPct val="20000"/>
          </a:spcBef>
          <a:defRPr sz="2000" b="0" kern="0" dirty="0">
            <a:solidFill>
              <a:srgbClr val="404040"/>
            </a:solidFill>
            <a:latin typeface="Trebuchet MS"/>
          </a:defRPr>
        </a:defPPr>
      </a:lstStyle>
    </a:spDef>
    <a:lnDef>
      <a:spPr bwMode="auto">
        <a:xfrm>
          <a:off x="0" y="0"/>
          <a:ext cx="1" cy="1"/>
        </a:xfrm>
        <a:custGeom>
          <a:avLst/>
          <a:gdLst/>
          <a:ahLst/>
          <a:cxnLst/>
          <a:rect l="0" t="0" r="0" b="0"/>
          <a:pathLst/>
        </a:custGeom>
        <a:solidFill>
          <a:schemeClr val="accent1"/>
        </a:solidFill>
        <a:ln w="25400" cap="flat" cmpd="sng" algn="ctr">
          <a:solidFill>
            <a:srgbClr val="9D8D85"/>
          </a:solidFill>
          <a:prstDash val="solid"/>
          <a:round/>
          <a:headEnd type="none" w="med" len="med"/>
          <a:tailEnd type="triangle" w="lg" len="med"/>
        </a:ln>
        <a:effectLst/>
      </a:spPr>
      <a:bodyPr vert="horz" wrap="square" lIns="0" tIns="0" rIns="0" bIns="0" numCol="1" anchor="ctr" anchorCtr="0" compatLnSpc="1">
        <a:prstTxWarp prst="textNoShape">
          <a:avLst/>
        </a:prstTxWarp>
      </a:bodyPr>
      <a:lstStyle>
        <a:defPPr marL="0" marR="0" indent="0" algn="ctr" defTabSz="914400" rtl="0" eaLnBrk="1" fontAlgn="base" latinLnBrk="0" hangingPunct="1">
          <a:lnSpc>
            <a:spcPct val="100000"/>
          </a:lnSpc>
          <a:spcBef>
            <a:spcPct val="0"/>
          </a:spcBef>
          <a:spcAft>
            <a:spcPct val="0"/>
          </a:spcAft>
          <a:buClrTx/>
          <a:buSzTx/>
          <a:buFontTx/>
          <a:buNone/>
          <a:tabLst/>
          <a:defRPr kumimoji="0" lang="en-GB" sz="1400" b="1" i="0" u="none" strike="noStrike" cap="none" normalizeH="0" baseline="0" smtClean="0">
            <a:ln>
              <a:noFill/>
            </a:ln>
            <a:solidFill>
              <a:schemeClr val="bg1"/>
            </a:solidFill>
            <a:effectLst/>
            <a:latin typeface="Trebuchet MS" pitchFamily="34" charset="0"/>
          </a:defRPr>
        </a:defPPr>
      </a:lstStyle>
    </a:lnDef>
    <a:txDef>
      <a:spPr>
        <a:noFill/>
      </a:spPr>
      <a:bodyPr wrap="square" lIns="0" tIns="0" rIns="0" bIns="0" rtlCol="0">
        <a:noAutofit/>
      </a:bodyPr>
      <a:lstStyle>
        <a:defPPr algn="l">
          <a:defRPr dirty="0" smtClean="0">
            <a:solidFill>
              <a:schemeClr val="tx2"/>
            </a:solidFill>
          </a:defRPr>
        </a:defPPr>
      </a:lstStyle>
    </a:txDef>
  </a:objectDefaults>
  <a:extraClrSchemeLst>
    <a:extraClrScheme>
      <a:clrScheme name="Default Design 1">
        <a:dk1>
          <a:srgbClr val="000000"/>
        </a:dk1>
        <a:lt1>
          <a:srgbClr val="FFFFFF"/>
        </a:lt1>
        <a:dk2>
          <a:srgbClr val="786860"/>
        </a:dk2>
        <a:lt2>
          <a:srgbClr val="D1108C"/>
        </a:lt2>
        <a:accent1>
          <a:srgbClr val="ED1A3B"/>
        </a:accent1>
        <a:accent2>
          <a:srgbClr val="2EAFA4"/>
        </a:accent2>
        <a:accent3>
          <a:srgbClr val="FFFFFF"/>
        </a:accent3>
        <a:accent4>
          <a:srgbClr val="000000"/>
        </a:accent4>
        <a:accent5>
          <a:srgbClr val="F4ABAF"/>
        </a:accent5>
        <a:accent6>
          <a:srgbClr val="299E94"/>
        </a:accent6>
        <a:hlink>
          <a:srgbClr val="98002E"/>
        </a:hlink>
        <a:folHlink>
          <a:srgbClr val="62CAE3"/>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BDO CVI-NEW" id="{37A660D9-7777-4A0A-B121-B3F43896740B}" vid="{FC355526-FEDC-410D-9DC9-752F8F8999C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11EEE4611534E95410EC4051F3B88" ma:contentTypeVersion="9" ma:contentTypeDescription="Create a new document." ma:contentTypeScope="" ma:versionID="ecb359c132846ca3bb64f25d53f1c477">
  <xsd:schema xmlns:xsd="http://www.w3.org/2001/XMLSchema" xmlns:xs="http://www.w3.org/2001/XMLSchema" xmlns:p="http://schemas.microsoft.com/office/2006/metadata/properties" xmlns:ns3="f26153ac-4fab-41aa-bf5a-d4a92a6a5c35" targetNamespace="http://schemas.microsoft.com/office/2006/metadata/properties" ma:root="true" ma:fieldsID="4841310e0fd92a8f59d24893632a055a" ns3:_="">
    <xsd:import namespace="f26153ac-4fab-41aa-bf5a-d4a92a6a5c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153ac-4fab-41aa-bf5a-d4a92a6a5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431AA-37CB-4A7B-8C98-680B5BC85C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153ac-4fab-41aa-bf5a-d4a92a6a5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15B2BE-8C0D-4288-BC88-181E389094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82FEC0-07DC-423C-AAF2-61C8C604070D}">
  <ds:schemaRefs>
    <ds:schemaRef ds:uri="http://schemas.microsoft.com/sharepoint/v3/contenttype/forms"/>
  </ds:schemaRefs>
</ds:datastoreItem>
</file>

<file path=customXml/itemProps4.xml><?xml version="1.0" encoding="utf-8"?>
<ds:datastoreItem xmlns:ds="http://schemas.openxmlformats.org/officeDocument/2006/customXml" ds:itemID="{E3946B80-B4EB-43EF-B4AF-EBB9C4016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Brie Tschoepe</dc:creator>
  <cp:keywords/>
  <dc:description/>
  <cp:lastModifiedBy>Gillian Gorra</cp:lastModifiedBy>
  <cp:revision>3</cp:revision>
  <dcterms:created xsi:type="dcterms:W3CDTF">2026-07-07T15:42:00Z</dcterms:created>
  <dcterms:modified xsi:type="dcterms:W3CDTF">2026-07-07T15:45:00Z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0x01010014B11EEE4611534E95410EC4051F3B88</vt:lpwstr>
  </property>
  <property fmtid="{D5CDD505-2E9C-101B-9397-08002B2CF9AE}" pid="3" name="Document Type">
    <vt:lpwstr>211;#Template - Report|2c7a20b3-44e5-4dca-a1c5-85b532924412</vt:lpwstr>
  </property>
  <property fmtid="{D5CDD505-2E9C-101B-9397-08002B2CF9AE}" pid="4" name="Template type">
    <vt:lpwstr>;#Proposal;#</vt:lpwstr>
  </property>
  <property fmtid="{D5CDD505-2E9C-101B-9397-08002B2CF9AE}" pid="5" name="Qvidian Status">
    <vt:lpwstr>N/A</vt:lpwstr>
  </property>
  <property fmtid="{D5CDD505-2E9C-101B-9397-08002B2CF9AE}" pid="6" name="Qvidian Update NEEDED">
    <vt:lpwstr>;#Updated;#</vt:lpwstr>
  </property>
  <property fmtid="{D5CDD505-2E9C-101B-9397-08002B2CF9AE}" pid="7" name="Stats UPDATED">
    <vt:lpwstr>;#Yes;#</vt:lpwstr>
  </property>
</Properties>
</file>